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B8C16" w14:textId="77777777" w:rsidR="00A868E1" w:rsidRDefault="00ED2634" w:rsidP="002F6648">
      <w:pPr>
        <w:pStyle w:val="Heading1"/>
        <w:tabs>
          <w:tab w:val="left" w:pos="6675"/>
        </w:tabs>
        <w:ind w:left="-2160" w:firstLine="180"/>
      </w:pPr>
      <w:bookmarkStart w:id="0" w:name="_GoBack"/>
      <w:bookmarkEnd w:id="0"/>
      <w:r>
        <w:rPr>
          <w:sz w:val="24"/>
        </w:rPr>
        <w:t xml:space="preserve">Issue </w:t>
      </w:r>
      <w:r w:rsidR="00D0530D">
        <w:rPr>
          <w:sz w:val="24"/>
        </w:rPr>
        <w:tab/>
      </w:r>
    </w:p>
    <w:p w14:paraId="121B8C17" w14:textId="3E294D79" w:rsidR="005D3273" w:rsidRDefault="00FF4697" w:rsidP="0065297E">
      <w:pPr>
        <w:tabs>
          <w:tab w:val="left" w:pos="9912"/>
        </w:tabs>
        <w:ind w:left="-810"/>
        <w:rPr>
          <w:sz w:val="24"/>
        </w:rPr>
      </w:pPr>
      <w:r>
        <w:rPr>
          <w:sz w:val="24"/>
        </w:rPr>
        <w:t xml:space="preserve">Based on one on one discussions held with each of the Services and analysis of the Program Metric Report, Grant Thornton has noted </w:t>
      </w:r>
      <w:r w:rsidR="00AC4A8E">
        <w:rPr>
          <w:sz w:val="24"/>
        </w:rPr>
        <w:t xml:space="preserve">differences among the Services in </w:t>
      </w:r>
      <w:r>
        <w:rPr>
          <w:sz w:val="24"/>
        </w:rPr>
        <w:t>application of the NAFSGL Chart of accounts</w:t>
      </w:r>
      <w:r w:rsidR="0085603F">
        <w:rPr>
          <w:sz w:val="24"/>
        </w:rPr>
        <w:t xml:space="preserve"> and approach to filling out the Program Metric Report</w:t>
      </w:r>
      <w:r>
        <w:rPr>
          <w:sz w:val="24"/>
        </w:rPr>
        <w:t>. While the full extent of differences is not fully known, the noted differences significantly impact the comparability of the financials between the Services</w:t>
      </w:r>
      <w:r w:rsidR="005B6DB0">
        <w:rPr>
          <w:sz w:val="24"/>
        </w:rPr>
        <w:t>.</w:t>
      </w:r>
    </w:p>
    <w:p w14:paraId="121B8C18" w14:textId="77777777" w:rsidR="002479EF" w:rsidRDefault="0065297E" w:rsidP="0065297E">
      <w:pPr>
        <w:tabs>
          <w:tab w:val="left" w:pos="9912"/>
        </w:tabs>
        <w:ind w:left="-810"/>
        <w:rPr>
          <w:sz w:val="24"/>
        </w:rPr>
      </w:pPr>
      <w:r>
        <w:rPr>
          <w:sz w:val="24"/>
        </w:rPr>
        <w:tab/>
      </w:r>
    </w:p>
    <w:p w14:paraId="121B8C19" w14:textId="77777777" w:rsidR="002479EF" w:rsidRDefault="002479EF" w:rsidP="002479EF">
      <w:pPr>
        <w:pStyle w:val="Heading1"/>
        <w:tabs>
          <w:tab w:val="left" w:pos="6675"/>
        </w:tabs>
        <w:ind w:left="-2160" w:firstLine="180"/>
        <w:rPr>
          <w:sz w:val="24"/>
        </w:rPr>
      </w:pPr>
      <w:r>
        <w:rPr>
          <w:sz w:val="24"/>
        </w:rPr>
        <w:t>Research</w:t>
      </w:r>
    </w:p>
    <w:p w14:paraId="121B8C1A" w14:textId="4CF81329" w:rsidR="002479EF" w:rsidRDefault="002479EF" w:rsidP="002479EF">
      <w:pPr>
        <w:ind w:left="-810"/>
        <w:rPr>
          <w:sz w:val="24"/>
        </w:rPr>
      </w:pPr>
      <w:r>
        <w:rPr>
          <w:sz w:val="24"/>
        </w:rPr>
        <w:t xml:space="preserve">Below outlines the </w:t>
      </w:r>
      <w:r w:rsidR="005B6DB0">
        <w:rPr>
          <w:sz w:val="24"/>
        </w:rPr>
        <w:t>position</w:t>
      </w:r>
      <w:r w:rsidR="00491258">
        <w:rPr>
          <w:sz w:val="24"/>
        </w:rPr>
        <w:t xml:space="preserve"> on </w:t>
      </w:r>
      <w:r w:rsidR="00AC4A8E">
        <w:rPr>
          <w:sz w:val="24"/>
        </w:rPr>
        <w:t xml:space="preserve">the reporting of Sales versus Other </w:t>
      </w:r>
      <w:r w:rsidR="001A1529">
        <w:rPr>
          <w:sz w:val="24"/>
        </w:rPr>
        <w:t xml:space="preserve">Operating </w:t>
      </w:r>
      <w:r w:rsidR="00AC4A8E">
        <w:rPr>
          <w:sz w:val="24"/>
        </w:rPr>
        <w:t>Revenue by Service</w:t>
      </w:r>
      <w:r>
        <w:rPr>
          <w:sz w:val="24"/>
        </w:rPr>
        <w:t>.</w:t>
      </w:r>
    </w:p>
    <w:p w14:paraId="121B8C1B" w14:textId="77777777" w:rsidR="00ED6A35" w:rsidRPr="00C44691" w:rsidRDefault="002479EF" w:rsidP="002479EF">
      <w:pPr>
        <w:ind w:left="-810"/>
        <w:rPr>
          <w:b/>
          <w:sz w:val="24"/>
        </w:rPr>
      </w:pPr>
      <w:r w:rsidRPr="00C44691">
        <w:rPr>
          <w:b/>
          <w:sz w:val="24"/>
        </w:rPr>
        <w:t xml:space="preserve"> </w:t>
      </w:r>
    </w:p>
    <w:tbl>
      <w:tblPr>
        <w:tblStyle w:val="GridTable4"/>
        <w:tblpPr w:leftFromText="180" w:rightFromText="180" w:vertAnchor="text" w:horzAnchor="page" w:tblpXSpec="center" w:tblpY="151"/>
        <w:tblW w:w="14935" w:type="dxa"/>
        <w:tblLayout w:type="fixed"/>
        <w:tblLook w:val="04A0" w:firstRow="1" w:lastRow="0" w:firstColumn="1" w:lastColumn="0" w:noHBand="0" w:noVBand="1"/>
      </w:tblPr>
      <w:tblGrid>
        <w:gridCol w:w="4945"/>
        <w:gridCol w:w="2430"/>
        <w:gridCol w:w="2520"/>
        <w:gridCol w:w="2340"/>
        <w:gridCol w:w="2700"/>
      </w:tblGrid>
      <w:tr w:rsidR="00ED2634" w:rsidRPr="0076168A" w14:paraId="121B8C21" w14:textId="77777777" w:rsidTr="004E2B3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45" w:type="dxa"/>
          </w:tcPr>
          <w:p w14:paraId="121B8C1C" w14:textId="46A8F592" w:rsidR="00ED2634" w:rsidRPr="0076168A" w:rsidRDefault="00AC4A8E" w:rsidP="00BB10C9">
            <w:pPr>
              <w:jc w:val="center"/>
              <w:rPr>
                <w:rFonts w:asciiTheme="minorHAnsi" w:hAnsiTheme="minorHAnsi" w:cs="Times New Roman"/>
                <w:sz w:val="28"/>
                <w:szCs w:val="28"/>
              </w:rPr>
            </w:pPr>
            <w:r>
              <w:rPr>
                <w:rFonts w:asciiTheme="minorHAnsi" w:hAnsiTheme="minorHAnsi" w:cs="Times New Roman"/>
                <w:sz w:val="28"/>
                <w:szCs w:val="28"/>
              </w:rPr>
              <w:t xml:space="preserve">Sales vs Other </w:t>
            </w:r>
            <w:r w:rsidR="001A1529">
              <w:rPr>
                <w:rFonts w:asciiTheme="minorHAnsi" w:hAnsiTheme="minorHAnsi" w:cs="Times New Roman"/>
                <w:sz w:val="28"/>
                <w:szCs w:val="28"/>
              </w:rPr>
              <w:t xml:space="preserve">Operating </w:t>
            </w:r>
            <w:r>
              <w:rPr>
                <w:rFonts w:asciiTheme="minorHAnsi" w:hAnsiTheme="minorHAnsi" w:cs="Times New Roman"/>
                <w:sz w:val="28"/>
                <w:szCs w:val="28"/>
              </w:rPr>
              <w:t>Revenue</w:t>
            </w:r>
            <w:r w:rsidR="00BB10C9">
              <w:rPr>
                <w:rFonts w:asciiTheme="minorHAnsi" w:hAnsiTheme="minorHAnsi" w:cs="Times New Roman"/>
                <w:sz w:val="28"/>
                <w:szCs w:val="28"/>
              </w:rPr>
              <w:t xml:space="preserve"> Treatment and Guidance</w:t>
            </w:r>
          </w:p>
        </w:tc>
        <w:tc>
          <w:tcPr>
            <w:tcW w:w="2430" w:type="dxa"/>
          </w:tcPr>
          <w:p w14:paraId="121B8C1D" w14:textId="77777777" w:rsidR="00ED2634" w:rsidRPr="0076168A" w:rsidRDefault="00ED2634" w:rsidP="00ED26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8"/>
                <w:szCs w:val="28"/>
              </w:rPr>
            </w:pPr>
            <w:r w:rsidRPr="0076168A">
              <w:rPr>
                <w:rFonts w:asciiTheme="minorHAnsi" w:hAnsiTheme="minorHAnsi" w:cs="Times New Roman"/>
                <w:sz w:val="28"/>
                <w:szCs w:val="28"/>
              </w:rPr>
              <w:t>Air Force</w:t>
            </w:r>
          </w:p>
        </w:tc>
        <w:tc>
          <w:tcPr>
            <w:tcW w:w="2520" w:type="dxa"/>
          </w:tcPr>
          <w:p w14:paraId="121B8C1E" w14:textId="77777777" w:rsidR="00ED2634" w:rsidRPr="0076168A" w:rsidRDefault="00ED2634" w:rsidP="00ED26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8"/>
                <w:szCs w:val="28"/>
              </w:rPr>
            </w:pPr>
            <w:r w:rsidRPr="0076168A">
              <w:rPr>
                <w:rFonts w:asciiTheme="minorHAnsi" w:hAnsiTheme="minorHAnsi" w:cs="Times New Roman"/>
                <w:sz w:val="28"/>
                <w:szCs w:val="28"/>
              </w:rPr>
              <w:t>Army</w:t>
            </w:r>
          </w:p>
        </w:tc>
        <w:tc>
          <w:tcPr>
            <w:tcW w:w="2340" w:type="dxa"/>
          </w:tcPr>
          <w:p w14:paraId="121B8C1F" w14:textId="77777777" w:rsidR="00ED2634" w:rsidRPr="0076168A" w:rsidRDefault="00ED2634" w:rsidP="00ED26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8"/>
                <w:szCs w:val="28"/>
              </w:rPr>
            </w:pPr>
            <w:r w:rsidRPr="0076168A">
              <w:rPr>
                <w:rFonts w:asciiTheme="minorHAnsi" w:hAnsiTheme="minorHAnsi" w:cs="Times New Roman"/>
                <w:sz w:val="28"/>
                <w:szCs w:val="28"/>
              </w:rPr>
              <w:t>Marines</w:t>
            </w:r>
          </w:p>
        </w:tc>
        <w:tc>
          <w:tcPr>
            <w:tcW w:w="2700" w:type="dxa"/>
          </w:tcPr>
          <w:p w14:paraId="121B8C20" w14:textId="77777777" w:rsidR="00ED2634" w:rsidRPr="0076168A" w:rsidRDefault="00ED2634" w:rsidP="00ED26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sz w:val="28"/>
                <w:szCs w:val="28"/>
              </w:rPr>
            </w:pPr>
            <w:r w:rsidRPr="0076168A">
              <w:rPr>
                <w:rFonts w:asciiTheme="minorHAnsi" w:hAnsiTheme="minorHAnsi" w:cs="Times New Roman"/>
                <w:sz w:val="28"/>
                <w:szCs w:val="28"/>
              </w:rPr>
              <w:t>Navy</w:t>
            </w:r>
          </w:p>
        </w:tc>
      </w:tr>
      <w:tr w:rsidR="00C7116B" w:rsidRPr="0076168A" w14:paraId="7839EA62" w14:textId="77777777" w:rsidTr="004E2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C9DB54F" w14:textId="342BFAFC" w:rsidR="00C7116B" w:rsidRDefault="00C7116B" w:rsidP="00C7116B">
            <w:pPr>
              <w:pStyle w:val="Default"/>
              <w:rPr>
                <w:rFonts w:asciiTheme="minorHAnsi" w:hAnsiTheme="minorHAnsi"/>
              </w:rPr>
            </w:pPr>
            <w:r>
              <w:rPr>
                <w:rFonts w:asciiTheme="minorHAnsi" w:hAnsiTheme="minorHAnsi"/>
              </w:rPr>
              <w:t xml:space="preserve">NAFSGL </w:t>
            </w:r>
            <w:r w:rsidR="004E2B3E">
              <w:rPr>
                <w:rFonts w:asciiTheme="minorHAnsi" w:hAnsiTheme="minorHAnsi"/>
              </w:rPr>
              <w:t>3</w:t>
            </w:r>
            <w:r>
              <w:rPr>
                <w:rFonts w:asciiTheme="minorHAnsi" w:hAnsiTheme="minorHAnsi"/>
              </w:rPr>
              <w:t>.0 Definitions:</w:t>
            </w:r>
          </w:p>
          <w:p w14:paraId="69416519" w14:textId="6DD04C0E" w:rsidR="00C7116B" w:rsidRDefault="00C7116B" w:rsidP="00C7116B">
            <w:pPr>
              <w:pStyle w:val="Default"/>
              <w:rPr>
                <w:rFonts w:asciiTheme="minorHAnsi" w:hAnsiTheme="minorHAnsi"/>
                <w:b w:val="0"/>
              </w:rPr>
            </w:pPr>
            <w:r>
              <w:rPr>
                <w:rFonts w:asciiTheme="minorHAnsi" w:hAnsiTheme="minorHAnsi"/>
                <w:b w:val="0"/>
                <w:u w:val="single"/>
              </w:rPr>
              <w:t xml:space="preserve">400: </w:t>
            </w:r>
            <w:r w:rsidRPr="00656B8A">
              <w:rPr>
                <w:rFonts w:asciiTheme="minorHAnsi" w:hAnsiTheme="minorHAnsi"/>
                <w:b w:val="0"/>
                <w:u w:val="single"/>
              </w:rPr>
              <w:t>Gross Sales Revenue</w:t>
            </w:r>
            <w:r w:rsidRPr="00656B8A">
              <w:rPr>
                <w:rFonts w:asciiTheme="minorHAnsi" w:hAnsiTheme="minorHAnsi"/>
                <w:b w:val="0"/>
              </w:rPr>
              <w:t>: All sales, i</w:t>
            </w:r>
            <w:r w:rsidRPr="00C7116B">
              <w:rPr>
                <w:rFonts w:asciiTheme="minorHAnsi" w:hAnsiTheme="minorHAnsi"/>
              </w:rPr>
              <w:t xml:space="preserve">ncluding sales of goods </w:t>
            </w:r>
            <w:r w:rsidRPr="00C7116B">
              <w:rPr>
                <w:rFonts w:asciiTheme="minorHAnsi" w:hAnsiTheme="minorHAnsi"/>
                <w:u w:val="single"/>
              </w:rPr>
              <w:t>and services</w:t>
            </w:r>
            <w:r w:rsidRPr="00C7116B">
              <w:rPr>
                <w:rFonts w:asciiTheme="minorHAnsi" w:hAnsiTheme="minorHAnsi"/>
              </w:rPr>
              <w:t xml:space="preserve"> central to an entity’s ongoing major or central operation</w:t>
            </w:r>
            <w:r w:rsidRPr="00656B8A">
              <w:rPr>
                <w:rFonts w:asciiTheme="minorHAnsi" w:hAnsiTheme="minorHAnsi"/>
                <w:b w:val="0"/>
              </w:rPr>
              <w:t>, within the fiscal year.</w:t>
            </w:r>
            <w:r>
              <w:rPr>
                <w:rFonts w:asciiTheme="minorHAnsi" w:hAnsiTheme="minorHAnsi"/>
                <w:b w:val="0"/>
              </w:rPr>
              <w:t xml:space="preserve"> Goods must have been delivered to the customer, and services must have been performed before sales revenue can be recognized. (Source: GAAP, FMR)</w:t>
            </w:r>
          </w:p>
          <w:p w14:paraId="6F6C1D22" w14:textId="228B1C5F" w:rsidR="00C7116B" w:rsidRPr="0076168A" w:rsidRDefault="00C7116B" w:rsidP="00C7116B">
            <w:pPr>
              <w:rPr>
                <w:rFonts w:asciiTheme="minorHAnsi" w:hAnsiTheme="minorHAnsi" w:cs="Times New Roman"/>
                <w:sz w:val="24"/>
                <w:szCs w:val="24"/>
              </w:rPr>
            </w:pPr>
            <w:r w:rsidRPr="00656B8A">
              <w:rPr>
                <w:rFonts w:asciiTheme="minorHAnsi" w:hAnsiTheme="minorHAnsi"/>
                <w:b w:val="0"/>
              </w:rPr>
              <w:t xml:space="preserve"> </w:t>
            </w:r>
          </w:p>
        </w:tc>
        <w:tc>
          <w:tcPr>
            <w:tcW w:w="2430" w:type="dxa"/>
          </w:tcPr>
          <w:p w14:paraId="21A69784" w14:textId="5883FF84" w:rsidR="00C7116B" w:rsidRPr="00370C1F" w:rsidRDefault="00C44691" w:rsidP="00370C1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Cs w:val="22"/>
              </w:rPr>
            </w:pPr>
            <w:r w:rsidRPr="00370C1F">
              <w:rPr>
                <w:rFonts w:asciiTheme="minorHAnsi" w:hAnsiTheme="minorHAnsi" w:cs="Times New Roman"/>
                <w:szCs w:val="22"/>
              </w:rPr>
              <w:t>Does Not Follow: Reports revenues from goods as sales, and revenue from services/participation as Other Ope</w:t>
            </w:r>
            <w:r w:rsidR="005B6DB0">
              <w:rPr>
                <w:rFonts w:asciiTheme="minorHAnsi" w:hAnsiTheme="minorHAnsi" w:cs="Times New Roman"/>
                <w:szCs w:val="22"/>
              </w:rPr>
              <w:t>rating Revenue</w:t>
            </w:r>
          </w:p>
        </w:tc>
        <w:tc>
          <w:tcPr>
            <w:tcW w:w="2520" w:type="dxa"/>
          </w:tcPr>
          <w:p w14:paraId="2E3E8575" w14:textId="77777777" w:rsidR="00370C1F" w:rsidRDefault="00C44691" w:rsidP="00C44691">
            <w:pPr>
              <w:pStyle w:val="ListParagraph"/>
              <w:ind w:left="250"/>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Cs w:val="22"/>
              </w:rPr>
            </w:pPr>
            <w:r>
              <w:rPr>
                <w:rFonts w:asciiTheme="minorHAnsi" w:hAnsiTheme="minorHAnsi" w:cs="Times New Roman"/>
                <w:szCs w:val="22"/>
              </w:rPr>
              <w:t xml:space="preserve">Unclear:  </w:t>
            </w:r>
          </w:p>
          <w:p w14:paraId="0F0F67AA" w14:textId="5BBFA597" w:rsidR="00C7116B" w:rsidRDefault="00C44691" w:rsidP="00C44691">
            <w:pPr>
              <w:pStyle w:val="ListParagraph"/>
              <w:ind w:left="250"/>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Cs w:val="22"/>
              </w:rPr>
              <w:t xml:space="preserve">Revenue generated without Cost of Goods Sold is considered a service fee instead of a sale. </w:t>
            </w:r>
          </w:p>
        </w:tc>
        <w:tc>
          <w:tcPr>
            <w:tcW w:w="2340" w:type="dxa"/>
          </w:tcPr>
          <w:p w14:paraId="2FBF7B19" w14:textId="77777777" w:rsidR="00C7116B" w:rsidRDefault="00370C1F" w:rsidP="00370C1F">
            <w:pPr>
              <w:cnfStyle w:val="000000100000" w:firstRow="0" w:lastRow="0" w:firstColumn="0" w:lastColumn="0" w:oddVBand="0" w:evenVBand="0" w:oddHBand="1" w:evenHBand="0" w:firstRowFirstColumn="0" w:firstRowLastColumn="0" w:lastRowFirstColumn="0" w:lastRowLastColumn="0"/>
            </w:pPr>
            <w:r>
              <w:t xml:space="preserve">Does Not Follow: </w:t>
            </w:r>
          </w:p>
          <w:p w14:paraId="5D08ADE3" w14:textId="58D23FFC" w:rsidR="00370C1F" w:rsidRDefault="00370C1F" w:rsidP="007B7DBF">
            <w:pPr>
              <w:cnfStyle w:val="000000100000" w:firstRow="0" w:lastRow="0" w:firstColumn="0" w:lastColumn="0" w:oddVBand="0" w:evenVBand="0" w:oddHBand="1" w:evenHBand="0" w:firstRowFirstColumn="0" w:firstRowLastColumn="0" w:lastRowFirstColumn="0" w:lastRowLastColumn="0"/>
            </w:pPr>
            <w:r>
              <w:t>Sales classification largely depends on Funding Category</w:t>
            </w:r>
            <w:r w:rsidR="007B7DBF">
              <w:t xml:space="preserve">. Most Category C services are considered Sales. All Category B </w:t>
            </w:r>
            <w:r w:rsidR="005B6DB0">
              <w:t>(except tickets) are considered</w:t>
            </w:r>
            <w:r w:rsidR="007B7DBF">
              <w:t xml:space="preserve"> Other Operating Revenue.</w:t>
            </w:r>
          </w:p>
        </w:tc>
        <w:tc>
          <w:tcPr>
            <w:tcW w:w="2700" w:type="dxa"/>
          </w:tcPr>
          <w:p w14:paraId="1C359865" w14:textId="77777777" w:rsidR="00370C1F" w:rsidRDefault="00370C1F" w:rsidP="0063252B">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Cs w:val="22"/>
              </w:rPr>
            </w:pPr>
            <w:r>
              <w:rPr>
                <w:rFonts w:asciiTheme="minorHAnsi" w:hAnsiTheme="minorHAnsi" w:cs="Times New Roman"/>
                <w:szCs w:val="22"/>
              </w:rPr>
              <w:t>Unclear:</w:t>
            </w:r>
          </w:p>
          <w:p w14:paraId="3103C218" w14:textId="1CC5B9A7" w:rsidR="00C7116B" w:rsidRDefault="005B6DB0" w:rsidP="006B05F0">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Cs w:val="22"/>
              </w:rPr>
              <w:t xml:space="preserve"> </w:t>
            </w:r>
            <w:r w:rsidR="006B05F0">
              <w:rPr>
                <w:rFonts w:asciiTheme="minorHAnsi" w:hAnsiTheme="minorHAnsi" w:cs="Times New Roman"/>
                <w:szCs w:val="22"/>
              </w:rPr>
              <w:t>Navy tends towards heavy usage of Other Operating Revenue in all categories</w:t>
            </w:r>
            <w:r w:rsidR="00370C1F">
              <w:rPr>
                <w:rFonts w:asciiTheme="minorHAnsi" w:hAnsiTheme="minorHAnsi" w:cs="Times New Roman"/>
                <w:szCs w:val="22"/>
              </w:rPr>
              <w:t xml:space="preserve">. </w:t>
            </w:r>
          </w:p>
        </w:tc>
      </w:tr>
      <w:tr w:rsidR="00C7116B" w:rsidRPr="0076168A" w14:paraId="581D6312" w14:textId="77777777" w:rsidTr="004E2B3E">
        <w:tc>
          <w:tcPr>
            <w:cnfStyle w:val="001000000000" w:firstRow="0" w:lastRow="0" w:firstColumn="1" w:lastColumn="0" w:oddVBand="0" w:evenVBand="0" w:oddHBand="0" w:evenHBand="0" w:firstRowFirstColumn="0" w:firstRowLastColumn="0" w:lastRowFirstColumn="0" w:lastRowLastColumn="0"/>
            <w:tcW w:w="4945" w:type="dxa"/>
          </w:tcPr>
          <w:p w14:paraId="7A6E9595" w14:textId="5FE24A3E" w:rsidR="00C7116B" w:rsidRDefault="00C7116B" w:rsidP="00C7116B">
            <w:pPr>
              <w:pStyle w:val="Default"/>
              <w:rPr>
                <w:rFonts w:asciiTheme="minorHAnsi" w:hAnsiTheme="minorHAnsi"/>
              </w:rPr>
            </w:pPr>
            <w:r>
              <w:rPr>
                <w:rFonts w:asciiTheme="minorHAnsi" w:hAnsiTheme="minorHAnsi"/>
              </w:rPr>
              <w:t>NAFSGL 1.0 Definition</w:t>
            </w:r>
          </w:p>
          <w:p w14:paraId="5EF4B004" w14:textId="4CDF9A9F" w:rsidR="00C7116B" w:rsidRPr="00C7116B" w:rsidRDefault="00C7116B" w:rsidP="00C7116B">
            <w:pPr>
              <w:pStyle w:val="Default"/>
              <w:rPr>
                <w:rFonts w:asciiTheme="minorHAnsi" w:hAnsiTheme="minorHAnsi"/>
                <w:b w:val="0"/>
                <w:u w:val="single"/>
              </w:rPr>
            </w:pPr>
            <w:r>
              <w:rPr>
                <w:rFonts w:asciiTheme="minorHAnsi" w:hAnsiTheme="minorHAnsi"/>
                <w:b w:val="0"/>
                <w:u w:val="single"/>
              </w:rPr>
              <w:t>40</w:t>
            </w:r>
            <w:r w:rsidR="004E2B3E">
              <w:rPr>
                <w:rFonts w:asciiTheme="minorHAnsi" w:hAnsiTheme="minorHAnsi"/>
                <w:b w:val="0"/>
                <w:u w:val="single"/>
              </w:rPr>
              <w:t>3:</w:t>
            </w:r>
            <w:r>
              <w:rPr>
                <w:rFonts w:asciiTheme="minorHAnsi" w:hAnsiTheme="minorHAnsi"/>
                <w:b w:val="0"/>
                <w:u w:val="single"/>
              </w:rPr>
              <w:t xml:space="preserve"> Participation Fee Revenue</w:t>
            </w:r>
          </w:p>
          <w:p w14:paraId="1E162EA7" w14:textId="09B131CD" w:rsidR="00C7116B" w:rsidRPr="00C7116B" w:rsidRDefault="00C7116B" w:rsidP="00C7116B">
            <w:pPr>
              <w:pStyle w:val="Default"/>
              <w:rPr>
                <w:rFonts w:asciiTheme="minorHAnsi" w:hAnsiTheme="minorHAnsi"/>
                <w:b w:val="0"/>
                <w:u w:val="single"/>
              </w:rPr>
            </w:pPr>
            <w:r w:rsidRPr="00C7116B">
              <w:rPr>
                <w:rFonts w:asciiTheme="minorHAnsi" w:hAnsiTheme="minorHAnsi" w:cstheme="majorHAnsi"/>
                <w:b w:val="0"/>
                <w:szCs w:val="22"/>
              </w:rPr>
              <w:t xml:space="preserve">Revenue from fees charged to customers for participating </w:t>
            </w:r>
            <w:r w:rsidRPr="00370C1F">
              <w:rPr>
                <w:rFonts w:asciiTheme="minorHAnsi" w:hAnsiTheme="minorHAnsi" w:cstheme="majorHAnsi"/>
                <w:szCs w:val="22"/>
              </w:rPr>
              <w:t>in programs</w:t>
            </w:r>
            <w:r w:rsidRPr="00C7116B">
              <w:rPr>
                <w:rFonts w:asciiTheme="minorHAnsi" w:hAnsiTheme="minorHAnsi" w:cstheme="majorHAnsi"/>
                <w:b w:val="0"/>
                <w:szCs w:val="22"/>
              </w:rPr>
              <w:t>, such as but not limited to athletic events, special events, golf green fees, bowling leagues, lodging room nights, etc. (Source: FMR)</w:t>
            </w:r>
          </w:p>
        </w:tc>
        <w:tc>
          <w:tcPr>
            <w:tcW w:w="2430" w:type="dxa"/>
          </w:tcPr>
          <w:p w14:paraId="54087949" w14:textId="700C4FA4" w:rsidR="00C7116B" w:rsidRDefault="004E2B3E" w:rsidP="00370C1F">
            <w:pPr>
              <w:cnfStyle w:val="000000000000" w:firstRow="0" w:lastRow="0" w:firstColumn="0" w:lastColumn="0" w:oddVBand="0" w:evenVBand="0" w:oddHBand="0" w:evenHBand="0" w:firstRowFirstColumn="0" w:firstRowLastColumn="0" w:lastRowFirstColumn="0" w:lastRowLastColumn="0"/>
            </w:pPr>
            <w:r>
              <w:t>Unclear where currently reported in PM report</w:t>
            </w:r>
          </w:p>
        </w:tc>
        <w:tc>
          <w:tcPr>
            <w:tcW w:w="2520" w:type="dxa"/>
          </w:tcPr>
          <w:p w14:paraId="6421BD55" w14:textId="5AB5F253" w:rsidR="00C7116B" w:rsidRDefault="004E2B3E" w:rsidP="00370C1F">
            <w:pPr>
              <w:cnfStyle w:val="000000000000" w:firstRow="0" w:lastRow="0" w:firstColumn="0" w:lastColumn="0" w:oddVBand="0" w:evenVBand="0" w:oddHBand="0" w:evenHBand="0" w:firstRowFirstColumn="0" w:firstRowLastColumn="0" w:lastRowFirstColumn="0" w:lastRowLastColumn="0"/>
            </w:pPr>
            <w:r>
              <w:t>Unclear where currently reported in PM report</w:t>
            </w:r>
          </w:p>
        </w:tc>
        <w:tc>
          <w:tcPr>
            <w:tcW w:w="2340" w:type="dxa"/>
          </w:tcPr>
          <w:p w14:paraId="7D696195" w14:textId="484BDE32" w:rsidR="00C7116B" w:rsidRDefault="004E2B3E" w:rsidP="00370C1F">
            <w:pPr>
              <w:cnfStyle w:val="000000000000" w:firstRow="0" w:lastRow="0" w:firstColumn="0" w:lastColumn="0" w:oddVBand="0" w:evenVBand="0" w:oddHBand="0" w:evenHBand="0" w:firstRowFirstColumn="0" w:firstRowLastColumn="0" w:lastRowFirstColumn="0" w:lastRowLastColumn="0"/>
            </w:pPr>
            <w:r>
              <w:t>Unclear where currently reported in PM report</w:t>
            </w:r>
          </w:p>
        </w:tc>
        <w:tc>
          <w:tcPr>
            <w:tcW w:w="2700" w:type="dxa"/>
          </w:tcPr>
          <w:p w14:paraId="4ED18D0F" w14:textId="6D384DE5" w:rsidR="00C7116B" w:rsidRDefault="004E2B3E" w:rsidP="00C7116B">
            <w:pPr>
              <w:cnfStyle w:val="000000000000" w:firstRow="0" w:lastRow="0" w:firstColumn="0" w:lastColumn="0" w:oddVBand="0" w:evenVBand="0" w:oddHBand="0" w:evenHBand="0" w:firstRowFirstColumn="0" w:firstRowLastColumn="0" w:lastRowFirstColumn="0" w:lastRowLastColumn="0"/>
            </w:pPr>
            <w:r>
              <w:t>Unclear where currently reported in PM report</w:t>
            </w:r>
          </w:p>
        </w:tc>
      </w:tr>
      <w:tr w:rsidR="00C7116B" w:rsidRPr="0076168A" w14:paraId="5F743604" w14:textId="77777777" w:rsidTr="004E2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97080C0" w14:textId="2714FF5E" w:rsidR="00C7116B" w:rsidRPr="00C7116B" w:rsidRDefault="00C7116B" w:rsidP="00C7116B">
            <w:pPr>
              <w:pStyle w:val="Default"/>
              <w:rPr>
                <w:rFonts w:asciiTheme="minorHAnsi" w:hAnsiTheme="minorHAnsi"/>
              </w:rPr>
            </w:pPr>
            <w:r>
              <w:rPr>
                <w:rFonts w:asciiTheme="minorHAnsi" w:hAnsiTheme="minorHAnsi"/>
              </w:rPr>
              <w:t>NAFSGL 1.0 Definition</w:t>
            </w:r>
          </w:p>
          <w:p w14:paraId="6FCFEE66" w14:textId="7EAEBD0C" w:rsidR="00C7116B" w:rsidRPr="00C7116B" w:rsidRDefault="00C7116B" w:rsidP="00C7116B">
            <w:pPr>
              <w:pStyle w:val="Default"/>
              <w:rPr>
                <w:rFonts w:asciiTheme="minorHAnsi" w:hAnsiTheme="minorHAnsi"/>
                <w:b w:val="0"/>
                <w:u w:val="single"/>
              </w:rPr>
            </w:pPr>
            <w:r w:rsidRPr="00C7116B">
              <w:rPr>
                <w:rFonts w:asciiTheme="minorHAnsi" w:hAnsiTheme="minorHAnsi"/>
                <w:b w:val="0"/>
                <w:u w:val="single"/>
              </w:rPr>
              <w:t>41</w:t>
            </w:r>
            <w:r w:rsidR="004E2B3E">
              <w:rPr>
                <w:rFonts w:asciiTheme="minorHAnsi" w:hAnsiTheme="minorHAnsi"/>
                <w:b w:val="0"/>
                <w:u w:val="single"/>
              </w:rPr>
              <w:t>2</w:t>
            </w:r>
            <w:r w:rsidRPr="00C7116B">
              <w:rPr>
                <w:rFonts w:asciiTheme="minorHAnsi" w:hAnsiTheme="minorHAnsi"/>
                <w:b w:val="0"/>
                <w:u w:val="single"/>
              </w:rPr>
              <w:t>:</w:t>
            </w:r>
            <w:r w:rsidR="004E2B3E">
              <w:rPr>
                <w:rFonts w:asciiTheme="minorHAnsi" w:hAnsiTheme="minorHAnsi"/>
                <w:b w:val="0"/>
                <w:u w:val="single"/>
              </w:rPr>
              <w:t xml:space="preserve"> </w:t>
            </w:r>
            <w:r w:rsidRPr="00C7116B">
              <w:rPr>
                <w:rFonts w:asciiTheme="minorHAnsi" w:hAnsiTheme="minorHAnsi"/>
                <w:b w:val="0"/>
                <w:u w:val="single"/>
              </w:rPr>
              <w:t xml:space="preserve">Other Operating </w:t>
            </w:r>
            <w:r>
              <w:rPr>
                <w:rFonts w:asciiTheme="minorHAnsi" w:hAnsiTheme="minorHAnsi"/>
                <w:b w:val="0"/>
                <w:u w:val="single"/>
              </w:rPr>
              <w:t>Revenue</w:t>
            </w:r>
            <w:r w:rsidRPr="00C7116B">
              <w:rPr>
                <w:rFonts w:asciiTheme="minorHAnsi" w:hAnsiTheme="minorHAnsi"/>
                <w:b w:val="0"/>
                <w:u w:val="single"/>
              </w:rPr>
              <w:t xml:space="preserve">: </w:t>
            </w:r>
          </w:p>
          <w:p w14:paraId="765B7767" w14:textId="7B1AAE56" w:rsidR="00370C1F" w:rsidRPr="00370C1F" w:rsidRDefault="00C7116B" w:rsidP="00C7116B">
            <w:pPr>
              <w:pStyle w:val="Default"/>
              <w:rPr>
                <w:rFonts w:asciiTheme="minorHAnsi" w:hAnsiTheme="minorHAnsi"/>
                <w:b w:val="0"/>
              </w:rPr>
            </w:pPr>
            <w:r>
              <w:rPr>
                <w:rFonts w:asciiTheme="minorHAnsi" w:hAnsiTheme="minorHAnsi"/>
                <w:b w:val="0"/>
              </w:rPr>
              <w:t>Revenue</w:t>
            </w:r>
            <w:r w:rsidRPr="00C7116B">
              <w:rPr>
                <w:rFonts w:asciiTheme="minorHAnsi" w:hAnsiTheme="minorHAnsi"/>
                <w:b w:val="0"/>
              </w:rPr>
              <w:t xml:space="preserve"> that does not fit any other GLAC income category. (Source: GAAP)</w:t>
            </w:r>
          </w:p>
        </w:tc>
        <w:tc>
          <w:tcPr>
            <w:tcW w:w="2430" w:type="dxa"/>
          </w:tcPr>
          <w:p w14:paraId="2DC73178" w14:textId="34FA58E5" w:rsidR="00C7116B" w:rsidRDefault="00370C1F" w:rsidP="00370C1F">
            <w:pPr>
              <w:cnfStyle w:val="000000100000" w:firstRow="0" w:lastRow="0" w:firstColumn="0" w:lastColumn="0" w:oddVBand="0" w:evenVBand="0" w:oddHBand="1" w:evenHBand="0" w:firstRowFirstColumn="0" w:firstRowLastColumn="0" w:lastRowFirstColumn="0" w:lastRowLastColumn="0"/>
            </w:pPr>
            <w:r>
              <w:t>Does Not Follow:</w:t>
            </w:r>
          </w:p>
          <w:p w14:paraId="4DC1994A" w14:textId="77777777" w:rsidR="00370C1F" w:rsidRPr="00370C1F" w:rsidRDefault="00370C1F" w:rsidP="00370C1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Cs w:val="22"/>
              </w:rPr>
            </w:pPr>
            <w:r w:rsidRPr="00370C1F">
              <w:rPr>
                <w:rFonts w:asciiTheme="minorHAnsi" w:hAnsiTheme="minorHAnsi" w:cs="Times New Roman"/>
                <w:szCs w:val="22"/>
              </w:rPr>
              <w:t>Revenue earned from offering Services (i.e., a round of golf or bowling).</w:t>
            </w:r>
          </w:p>
          <w:p w14:paraId="2E00B004" w14:textId="29898C5D" w:rsidR="00370C1F" w:rsidRDefault="00370C1F" w:rsidP="00370C1F">
            <w:pPr>
              <w:cnfStyle w:val="000000100000" w:firstRow="0" w:lastRow="0" w:firstColumn="0" w:lastColumn="0" w:oddVBand="0" w:evenVBand="0" w:oddHBand="1" w:evenHBand="0" w:firstRowFirstColumn="0" w:firstRowLastColumn="0" w:lastRowFirstColumn="0" w:lastRowLastColumn="0"/>
            </w:pPr>
            <w:r w:rsidRPr="00D01074">
              <w:rPr>
                <w:rFonts w:asciiTheme="minorHAnsi" w:hAnsiTheme="minorHAnsi" w:cs="Times New Roman"/>
                <w:szCs w:val="22"/>
              </w:rPr>
              <w:lastRenderedPageBreak/>
              <w:t>Cos</w:t>
            </w:r>
            <w:r w:rsidR="005B6DB0">
              <w:rPr>
                <w:rFonts w:asciiTheme="minorHAnsi" w:hAnsiTheme="minorHAnsi" w:cs="Times New Roman"/>
                <w:szCs w:val="22"/>
              </w:rPr>
              <w:t xml:space="preserve">t of providing services </w:t>
            </w:r>
            <w:r w:rsidRPr="00D01074">
              <w:rPr>
                <w:rFonts w:asciiTheme="minorHAnsi" w:hAnsiTheme="minorHAnsi" w:cs="Times New Roman"/>
                <w:szCs w:val="22"/>
              </w:rPr>
              <w:t>captured in a variety of expense accounts</w:t>
            </w:r>
          </w:p>
        </w:tc>
        <w:tc>
          <w:tcPr>
            <w:tcW w:w="2520" w:type="dxa"/>
          </w:tcPr>
          <w:p w14:paraId="033110E7" w14:textId="77777777" w:rsidR="00C7116B" w:rsidRDefault="00370C1F" w:rsidP="00370C1F">
            <w:pPr>
              <w:cnfStyle w:val="000000100000" w:firstRow="0" w:lastRow="0" w:firstColumn="0" w:lastColumn="0" w:oddVBand="0" w:evenVBand="0" w:oddHBand="1" w:evenHBand="0" w:firstRowFirstColumn="0" w:firstRowLastColumn="0" w:lastRowFirstColumn="0" w:lastRowLastColumn="0"/>
            </w:pPr>
            <w:r>
              <w:lastRenderedPageBreak/>
              <w:t xml:space="preserve">Does Not Follow: </w:t>
            </w:r>
          </w:p>
          <w:p w14:paraId="6B6D5E32" w14:textId="13402432" w:rsidR="00370C1F" w:rsidRDefault="00370C1F" w:rsidP="00370C1F">
            <w:pPr>
              <w:cnfStyle w:val="000000100000" w:firstRow="0" w:lastRow="0" w:firstColumn="0" w:lastColumn="0" w:oddVBand="0" w:evenVBand="0" w:oddHBand="1" w:evenHBand="0" w:firstRowFirstColumn="0" w:firstRowLastColumn="0" w:lastRowFirstColumn="0" w:lastRowLastColumn="0"/>
            </w:pPr>
            <w:r>
              <w:t xml:space="preserve">Size of account exceeds Gross Sales by a 2 to 1 margin. By definition, Gross Sales should be the </w:t>
            </w:r>
            <w:r>
              <w:lastRenderedPageBreak/>
              <w:t>largest stream of revenue reported</w:t>
            </w:r>
          </w:p>
        </w:tc>
        <w:tc>
          <w:tcPr>
            <w:tcW w:w="2340" w:type="dxa"/>
          </w:tcPr>
          <w:p w14:paraId="3B213C2F" w14:textId="77777777" w:rsidR="00370C1F" w:rsidRDefault="00370C1F" w:rsidP="00370C1F">
            <w:pPr>
              <w:cnfStyle w:val="000000100000" w:firstRow="0" w:lastRow="0" w:firstColumn="0" w:lastColumn="0" w:oddVBand="0" w:evenVBand="0" w:oddHBand="1" w:evenHBand="0" w:firstRowFirstColumn="0" w:firstRowLastColumn="0" w:lastRowFirstColumn="0" w:lastRowLastColumn="0"/>
            </w:pPr>
            <w:r>
              <w:lastRenderedPageBreak/>
              <w:t>Does Not Follow:</w:t>
            </w:r>
          </w:p>
          <w:p w14:paraId="5DC38EB6" w14:textId="57CDC3F1" w:rsidR="00370C1F" w:rsidRDefault="00370C1F" w:rsidP="007B7DBF">
            <w:pPr>
              <w:cnfStyle w:val="000000100000" w:firstRow="0" w:lastRow="0" w:firstColumn="0" w:lastColumn="0" w:oddVBand="0" w:evenVBand="0" w:oddHBand="1" w:evenHBand="0" w:firstRowFirstColumn="0" w:firstRowLastColumn="0" w:lastRowFirstColumn="0" w:lastRowLastColumn="0"/>
            </w:pPr>
            <w:r>
              <w:t>Classification depends on Funding Category</w:t>
            </w:r>
            <w:r w:rsidR="007B7DBF">
              <w:t xml:space="preserve">. Most Category B’s use Other Operating </w:t>
            </w:r>
            <w:r w:rsidR="007B7DBF">
              <w:lastRenderedPageBreak/>
              <w:t>Revenue. Category C’s use a small amount for commissions and rental revenue</w:t>
            </w:r>
          </w:p>
        </w:tc>
        <w:tc>
          <w:tcPr>
            <w:tcW w:w="2700" w:type="dxa"/>
          </w:tcPr>
          <w:p w14:paraId="7F008F58" w14:textId="77777777" w:rsidR="00C7116B" w:rsidRDefault="00370C1F" w:rsidP="00C7116B">
            <w:pPr>
              <w:cnfStyle w:val="000000100000" w:firstRow="0" w:lastRow="0" w:firstColumn="0" w:lastColumn="0" w:oddVBand="0" w:evenVBand="0" w:oddHBand="1" w:evenHBand="0" w:firstRowFirstColumn="0" w:firstRowLastColumn="0" w:lastRowFirstColumn="0" w:lastRowLastColumn="0"/>
            </w:pPr>
            <w:r>
              <w:lastRenderedPageBreak/>
              <w:t>Does Not Follow</w:t>
            </w:r>
          </w:p>
          <w:p w14:paraId="3246C159" w14:textId="037EAAE8" w:rsidR="00370C1F" w:rsidRDefault="00370C1F" w:rsidP="00C7116B">
            <w:pPr>
              <w:cnfStyle w:val="000000100000" w:firstRow="0" w:lastRow="0" w:firstColumn="0" w:lastColumn="0" w:oddVBand="0" w:evenVBand="0" w:oddHBand="1" w:evenHBand="0" w:firstRowFirstColumn="0" w:firstRowLastColumn="0" w:lastRowFirstColumn="0" w:lastRowLastColumn="0"/>
            </w:pPr>
            <w:r>
              <w:t xml:space="preserve">Size of account slightly exceeds Gross Sales.  By definition, Gross Sales </w:t>
            </w:r>
            <w:r>
              <w:lastRenderedPageBreak/>
              <w:t>should be the largest stream of revenue reported</w:t>
            </w:r>
          </w:p>
        </w:tc>
      </w:tr>
      <w:tr w:rsidR="00C44691" w:rsidRPr="0076168A" w14:paraId="495F4F8E" w14:textId="77777777" w:rsidTr="004E2B3E">
        <w:tc>
          <w:tcPr>
            <w:cnfStyle w:val="001000000000" w:firstRow="0" w:lastRow="0" w:firstColumn="1" w:lastColumn="0" w:oddVBand="0" w:evenVBand="0" w:oddHBand="0" w:evenHBand="0" w:firstRowFirstColumn="0" w:firstRowLastColumn="0" w:lastRowFirstColumn="0" w:lastRowLastColumn="0"/>
            <w:tcW w:w="4945" w:type="dxa"/>
          </w:tcPr>
          <w:p w14:paraId="687BE6A1" w14:textId="050EB87C" w:rsidR="00C44691" w:rsidRDefault="00C44691" w:rsidP="00C7116B">
            <w:pPr>
              <w:pStyle w:val="Default"/>
              <w:rPr>
                <w:rFonts w:asciiTheme="minorHAnsi" w:hAnsiTheme="minorHAnsi"/>
              </w:rPr>
            </w:pPr>
            <w:r>
              <w:rPr>
                <w:rFonts w:asciiTheme="minorHAnsi" w:hAnsiTheme="minorHAnsi"/>
              </w:rPr>
              <w:lastRenderedPageBreak/>
              <w:t>NAFSGL 2.0 Definition</w:t>
            </w:r>
          </w:p>
          <w:p w14:paraId="499F0750" w14:textId="200BC1E9" w:rsidR="00370C1F" w:rsidRPr="00370C1F" w:rsidRDefault="00370C1F" w:rsidP="00C7116B">
            <w:pPr>
              <w:pStyle w:val="Default"/>
              <w:rPr>
                <w:rFonts w:asciiTheme="minorHAnsi" w:hAnsiTheme="minorHAnsi"/>
                <w:b w:val="0"/>
                <w:u w:val="single"/>
              </w:rPr>
            </w:pPr>
            <w:r w:rsidRPr="00370C1F">
              <w:rPr>
                <w:rFonts w:asciiTheme="minorHAnsi" w:hAnsiTheme="minorHAnsi"/>
                <w:b w:val="0"/>
                <w:u w:val="single"/>
              </w:rPr>
              <w:t>502: Cost of Goods Sold</w:t>
            </w:r>
          </w:p>
          <w:p w14:paraId="758E212B" w14:textId="77777777" w:rsidR="00C44691" w:rsidRDefault="00370C1F" w:rsidP="00C7116B">
            <w:pPr>
              <w:pStyle w:val="Default"/>
              <w:rPr>
                <w:rFonts w:asciiTheme="minorHAnsi" w:hAnsiTheme="minorHAnsi" w:cstheme="majorHAnsi"/>
                <w:b w:val="0"/>
                <w:szCs w:val="22"/>
              </w:rPr>
            </w:pPr>
            <w:r w:rsidRPr="00370C1F">
              <w:rPr>
                <w:rFonts w:asciiTheme="minorHAnsi" w:hAnsiTheme="minorHAnsi" w:cstheme="majorHAnsi"/>
                <w:b w:val="0"/>
                <w:szCs w:val="22"/>
              </w:rPr>
              <w:t>Cost paid for merchandise sold. Cost of Goods Sold includes the cost of freight deemed to be material and readily assignable to individual inventory items or items transferred from other cost centers. This GLAC is to be used in conjunction with the perpetual inventory accounting method.</w:t>
            </w:r>
          </w:p>
          <w:p w14:paraId="10FBE91A" w14:textId="1CDAA0C2" w:rsidR="00370C1F" w:rsidRDefault="00370C1F" w:rsidP="00C7116B">
            <w:pPr>
              <w:pStyle w:val="Default"/>
              <w:rPr>
                <w:rFonts w:asciiTheme="minorHAnsi" w:hAnsiTheme="minorHAnsi" w:cstheme="majorHAnsi"/>
                <w:b w:val="0"/>
                <w:szCs w:val="22"/>
              </w:rPr>
            </w:pPr>
            <w:r>
              <w:rPr>
                <w:rFonts w:asciiTheme="minorHAnsi" w:hAnsiTheme="minorHAnsi" w:cstheme="majorHAnsi"/>
                <w:b w:val="0"/>
                <w:szCs w:val="22"/>
              </w:rPr>
              <w:t xml:space="preserve">(NOTE: Was not present in </w:t>
            </w:r>
            <w:r w:rsidR="005B6DB0">
              <w:rPr>
                <w:rFonts w:asciiTheme="minorHAnsi" w:hAnsiTheme="minorHAnsi" w:cstheme="majorHAnsi"/>
                <w:b w:val="0"/>
                <w:szCs w:val="22"/>
              </w:rPr>
              <w:t xml:space="preserve">NAFSGL </w:t>
            </w:r>
            <w:r>
              <w:rPr>
                <w:rFonts w:asciiTheme="minorHAnsi" w:hAnsiTheme="minorHAnsi" w:cstheme="majorHAnsi"/>
                <w:b w:val="0"/>
                <w:szCs w:val="22"/>
              </w:rPr>
              <w:t>1.0)</w:t>
            </w:r>
          </w:p>
          <w:p w14:paraId="2B2A3CE0" w14:textId="77777777" w:rsidR="007C0E62" w:rsidRDefault="007C0E62" w:rsidP="00C7116B">
            <w:pPr>
              <w:pStyle w:val="Default"/>
              <w:rPr>
                <w:rFonts w:asciiTheme="minorHAnsi" w:hAnsiTheme="minorHAnsi" w:cstheme="majorHAnsi"/>
                <w:b w:val="0"/>
                <w:szCs w:val="22"/>
              </w:rPr>
            </w:pPr>
          </w:p>
          <w:p w14:paraId="63D82F6D" w14:textId="30F09CB4" w:rsidR="007C0E62" w:rsidRPr="00370C1F" w:rsidRDefault="007C0E62" w:rsidP="00C7116B">
            <w:pPr>
              <w:pStyle w:val="Default"/>
              <w:rPr>
                <w:rFonts w:asciiTheme="minorHAnsi" w:hAnsiTheme="minorHAnsi"/>
                <w:b w:val="0"/>
              </w:rPr>
            </w:pPr>
            <w:r>
              <w:rPr>
                <w:rFonts w:asciiTheme="minorHAnsi" w:hAnsiTheme="minorHAnsi" w:cstheme="majorHAnsi"/>
                <w:b w:val="0"/>
                <w:szCs w:val="22"/>
              </w:rPr>
              <w:t>No Cost of Sales/Services in NAFSGL</w:t>
            </w:r>
          </w:p>
        </w:tc>
        <w:tc>
          <w:tcPr>
            <w:tcW w:w="2430" w:type="dxa"/>
          </w:tcPr>
          <w:p w14:paraId="02B3BA59" w14:textId="77777777" w:rsidR="00370C1F" w:rsidRDefault="00370C1F" w:rsidP="00370C1F">
            <w:pPr>
              <w:cnfStyle w:val="000000000000" w:firstRow="0" w:lastRow="0" w:firstColumn="0" w:lastColumn="0" w:oddVBand="0" w:evenVBand="0" w:oddHBand="0" w:evenHBand="0" w:firstRowFirstColumn="0" w:firstRowLastColumn="0" w:lastRowFirstColumn="0" w:lastRowLastColumn="0"/>
            </w:pPr>
            <w:r>
              <w:t xml:space="preserve">Follows Guidance: </w:t>
            </w:r>
          </w:p>
          <w:p w14:paraId="77A049DA" w14:textId="783B3BD4" w:rsidR="00C44691" w:rsidRDefault="00370C1F" w:rsidP="00370C1F">
            <w:pPr>
              <w:cnfStyle w:val="000000000000" w:firstRow="0" w:lastRow="0" w:firstColumn="0" w:lastColumn="0" w:oddVBand="0" w:evenVBand="0" w:oddHBand="0" w:evenHBand="0" w:firstRowFirstColumn="0" w:firstRowLastColumn="0" w:lastRowFirstColumn="0" w:lastRowLastColumn="0"/>
            </w:pPr>
            <w:r>
              <w:t xml:space="preserve">Cost of Goods sold, as currently structured, is only for inventory goods. Assumes no variable </w:t>
            </w:r>
            <w:r w:rsidR="007C0E62">
              <w:t>costs in earning service/ participation revenue</w:t>
            </w:r>
            <w:r>
              <w:t xml:space="preserve"> </w:t>
            </w:r>
          </w:p>
        </w:tc>
        <w:tc>
          <w:tcPr>
            <w:tcW w:w="2520" w:type="dxa"/>
          </w:tcPr>
          <w:p w14:paraId="0AE6E010" w14:textId="77777777" w:rsidR="007C0E62" w:rsidRDefault="007C0E62" w:rsidP="007C0E62">
            <w:pPr>
              <w:cnfStyle w:val="000000000000" w:firstRow="0" w:lastRow="0" w:firstColumn="0" w:lastColumn="0" w:oddVBand="0" w:evenVBand="0" w:oddHBand="0" w:evenHBand="0" w:firstRowFirstColumn="0" w:firstRowLastColumn="0" w:lastRowFirstColumn="0" w:lastRowLastColumn="0"/>
            </w:pPr>
            <w:r>
              <w:t xml:space="preserve">Follows Guidance: </w:t>
            </w:r>
          </w:p>
          <w:p w14:paraId="5B3E278E" w14:textId="562E8AAC" w:rsidR="00C44691" w:rsidRDefault="007C0E62" w:rsidP="000151FB">
            <w:pPr>
              <w:cnfStyle w:val="000000000000" w:firstRow="0" w:lastRow="0" w:firstColumn="0" w:lastColumn="0" w:oddVBand="0" w:evenVBand="0" w:oddHBand="0" w:evenHBand="0" w:firstRowFirstColumn="0" w:firstRowLastColumn="0" w:lastRowFirstColumn="0" w:lastRowLastColumn="0"/>
            </w:pPr>
            <w:r>
              <w:t>Cost of Goods sold, as currently structured, is only for inventory goods. Assumes no variable costs in earning service/ participation revenue</w:t>
            </w:r>
          </w:p>
        </w:tc>
        <w:tc>
          <w:tcPr>
            <w:tcW w:w="2340" w:type="dxa"/>
          </w:tcPr>
          <w:p w14:paraId="084B6C83" w14:textId="77777777" w:rsidR="007C0E62" w:rsidRDefault="007C0E62" w:rsidP="007C0E62">
            <w:pPr>
              <w:cnfStyle w:val="000000000000" w:firstRow="0" w:lastRow="0" w:firstColumn="0" w:lastColumn="0" w:oddVBand="0" w:evenVBand="0" w:oddHBand="0" w:evenHBand="0" w:firstRowFirstColumn="0" w:firstRowLastColumn="0" w:lastRowFirstColumn="0" w:lastRowLastColumn="0"/>
            </w:pPr>
            <w:r>
              <w:t xml:space="preserve">Follows Guidance: </w:t>
            </w:r>
          </w:p>
          <w:p w14:paraId="7A805A0F" w14:textId="508EA05A" w:rsidR="00C44691" w:rsidRDefault="007C0E62" w:rsidP="007C0E62">
            <w:pPr>
              <w:cnfStyle w:val="000000000000" w:firstRow="0" w:lastRow="0" w:firstColumn="0" w:lastColumn="0" w:oddVBand="0" w:evenVBand="0" w:oddHBand="0" w:evenHBand="0" w:firstRowFirstColumn="0" w:firstRowLastColumn="0" w:lastRowFirstColumn="0" w:lastRowLastColumn="0"/>
            </w:pPr>
            <w:r>
              <w:t>Cost of Goods sold, as currently structured, is only for inventory goods. Assumes no variable costs in earning service/ participation revenue</w:t>
            </w:r>
          </w:p>
        </w:tc>
        <w:tc>
          <w:tcPr>
            <w:tcW w:w="2700" w:type="dxa"/>
          </w:tcPr>
          <w:p w14:paraId="290BEBBC" w14:textId="50DA2A89" w:rsidR="00C44691" w:rsidRDefault="00370C1F" w:rsidP="00C7116B">
            <w:pPr>
              <w:cnfStyle w:val="000000000000" w:firstRow="0" w:lastRow="0" w:firstColumn="0" w:lastColumn="0" w:oddVBand="0" w:evenVBand="0" w:oddHBand="0" w:evenHBand="0" w:firstRowFirstColumn="0" w:firstRowLastColumn="0" w:lastRowFirstColumn="0" w:lastRowLastColumn="0"/>
            </w:pPr>
            <w:r>
              <w:t>Unclear</w:t>
            </w:r>
          </w:p>
        </w:tc>
      </w:tr>
      <w:tr w:rsidR="007B7DBF" w:rsidRPr="0076168A" w14:paraId="121B8C2F" w14:textId="77777777" w:rsidTr="004E2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21B8C29" w14:textId="5CDBEFB3" w:rsidR="00C7116B" w:rsidRPr="0076168A" w:rsidRDefault="007B7DBF" w:rsidP="00C7116B">
            <w:pPr>
              <w:autoSpaceDE w:val="0"/>
              <w:autoSpaceDN w:val="0"/>
              <w:adjustRightInd w:val="0"/>
              <w:rPr>
                <w:rFonts w:asciiTheme="minorHAnsi" w:hAnsiTheme="minorHAnsi" w:cs="Times New Roman"/>
                <w:sz w:val="24"/>
                <w:szCs w:val="24"/>
              </w:rPr>
            </w:pPr>
            <w:r>
              <w:rPr>
                <w:rFonts w:asciiTheme="minorHAnsi" w:hAnsiTheme="minorHAnsi" w:cs="Times New Roman"/>
                <w:sz w:val="24"/>
                <w:szCs w:val="24"/>
              </w:rPr>
              <w:t>Additional Notes</w:t>
            </w:r>
          </w:p>
        </w:tc>
        <w:tc>
          <w:tcPr>
            <w:tcW w:w="2430" w:type="dxa"/>
          </w:tcPr>
          <w:p w14:paraId="121B8C2B" w14:textId="27CF1318" w:rsidR="00C7116B" w:rsidRPr="007B7DBF" w:rsidRDefault="007B7DBF" w:rsidP="007B7DBF">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r>
              <w:rPr>
                <w:rFonts w:asciiTheme="minorHAnsi" w:hAnsiTheme="minorHAnsi" w:cs="Times New Roman"/>
                <w:sz w:val="24"/>
                <w:szCs w:val="24"/>
              </w:rPr>
              <w:t xml:space="preserve">N/A  </w:t>
            </w:r>
          </w:p>
        </w:tc>
        <w:tc>
          <w:tcPr>
            <w:tcW w:w="2520" w:type="dxa"/>
          </w:tcPr>
          <w:p w14:paraId="121B8C2C" w14:textId="4D0F6218" w:rsidR="00C7116B" w:rsidRDefault="007B7DBF" w:rsidP="007B7DBF">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 w:val="24"/>
                <w:szCs w:val="24"/>
              </w:rPr>
              <w:t xml:space="preserve">N/A  </w:t>
            </w:r>
          </w:p>
        </w:tc>
        <w:tc>
          <w:tcPr>
            <w:tcW w:w="2340" w:type="dxa"/>
          </w:tcPr>
          <w:p w14:paraId="52ED748D" w14:textId="77777777" w:rsidR="007B7DBF" w:rsidRDefault="007B7DBF" w:rsidP="007B7DBF">
            <w:pPr>
              <w:cnfStyle w:val="000000100000" w:firstRow="0" w:lastRow="0" w:firstColumn="0" w:lastColumn="0" w:oddVBand="0" w:evenVBand="0" w:oddHBand="1" w:evenHBand="0" w:firstRowFirstColumn="0" w:firstRowLastColumn="0" w:lastRowFirstColumn="0" w:lastRowLastColumn="0"/>
            </w:pPr>
            <w:r>
              <w:t>Since Category B is subsidized, and the intention of category B is not strictly profit, the money earned from Category B programs is considered Other Operating. ITT is considered an exception.</w:t>
            </w:r>
          </w:p>
          <w:p w14:paraId="797E11D1" w14:textId="77777777" w:rsidR="007B7DBF" w:rsidRDefault="007B7DBF" w:rsidP="007B7DBF">
            <w:pPr>
              <w:cnfStyle w:val="000000100000" w:firstRow="0" w:lastRow="0" w:firstColumn="0" w:lastColumn="0" w:oddVBand="0" w:evenVBand="0" w:oddHBand="1" w:evenHBand="0" w:firstRowFirstColumn="0" w:firstRowLastColumn="0" w:lastRowFirstColumn="0" w:lastRowLastColumn="0"/>
            </w:pPr>
          </w:p>
          <w:p w14:paraId="72CF7284" w14:textId="74D7560B" w:rsidR="007B7DBF" w:rsidRDefault="007B7DBF" w:rsidP="007B7DBF">
            <w:pPr>
              <w:cnfStyle w:val="000000100000" w:firstRow="0" w:lastRow="0" w:firstColumn="0" w:lastColumn="0" w:oddVBand="0" w:evenVBand="0" w:oddHBand="1" w:evenHBand="0" w:firstRowFirstColumn="0" w:firstRowLastColumn="0" w:lastRowFirstColumn="0" w:lastRowLastColumn="0"/>
            </w:pPr>
            <w:r>
              <w:t xml:space="preserve">Sales, whether of goods or products, in Category C programs do not require a cost of goods sold. </w:t>
            </w:r>
          </w:p>
          <w:p w14:paraId="121B8C2D" w14:textId="7EFA2955" w:rsidR="00C7116B" w:rsidRDefault="00C7116B" w:rsidP="007B7DBF">
            <w:pPr>
              <w:pStyle w:val="ListParagraph"/>
              <w:ind w:left="340"/>
              <w:cnfStyle w:val="000000100000" w:firstRow="0" w:lastRow="0" w:firstColumn="0" w:lastColumn="0" w:oddVBand="0" w:evenVBand="0" w:oddHBand="1" w:evenHBand="0" w:firstRowFirstColumn="0" w:firstRowLastColumn="0" w:lastRowFirstColumn="0" w:lastRowLastColumn="0"/>
            </w:pPr>
          </w:p>
        </w:tc>
        <w:tc>
          <w:tcPr>
            <w:tcW w:w="2700" w:type="dxa"/>
          </w:tcPr>
          <w:p w14:paraId="453C21BF" w14:textId="24D3331F" w:rsidR="006B05F0" w:rsidRPr="006B05F0" w:rsidRDefault="006B05F0" w:rsidP="00C7116B">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p>
          <w:p w14:paraId="2EE77DB8" w14:textId="77777777" w:rsidR="006B05F0" w:rsidRDefault="006B05F0" w:rsidP="00C7116B">
            <w:pP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4"/>
                <w:szCs w:val="24"/>
              </w:rPr>
            </w:pPr>
          </w:p>
          <w:p w14:paraId="121B8C2E" w14:textId="01165603" w:rsidR="00C7116B" w:rsidRDefault="007B7DBF" w:rsidP="006B05F0">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imes New Roman"/>
                <w:sz w:val="24"/>
                <w:szCs w:val="24"/>
              </w:rPr>
              <w:t>Navy’s one on one meeting w</w:t>
            </w:r>
            <w:r w:rsidR="006B05F0">
              <w:rPr>
                <w:rFonts w:asciiTheme="minorHAnsi" w:hAnsiTheme="minorHAnsi" w:cs="Times New Roman"/>
                <w:sz w:val="24"/>
                <w:szCs w:val="24"/>
              </w:rPr>
              <w:t xml:space="preserve">as held before this issue was known. </w:t>
            </w:r>
            <w:r>
              <w:rPr>
                <w:rFonts w:asciiTheme="minorHAnsi" w:hAnsiTheme="minorHAnsi" w:cs="Times New Roman"/>
                <w:sz w:val="24"/>
                <w:szCs w:val="24"/>
              </w:rPr>
              <w:t xml:space="preserve"> </w:t>
            </w:r>
          </w:p>
        </w:tc>
      </w:tr>
    </w:tbl>
    <w:p w14:paraId="24927CFF" w14:textId="77777777" w:rsidR="009B2B2F" w:rsidRDefault="009B2B2F" w:rsidP="00E369DE">
      <w:pPr>
        <w:pStyle w:val="Heading1"/>
        <w:tabs>
          <w:tab w:val="left" w:pos="6675"/>
        </w:tabs>
        <w:ind w:left="-2160" w:firstLine="180"/>
        <w:rPr>
          <w:sz w:val="24"/>
        </w:rPr>
      </w:pPr>
    </w:p>
    <w:p w14:paraId="03FB4D67" w14:textId="1B40EB60" w:rsidR="00671B99" w:rsidRPr="00E369DE" w:rsidRDefault="00926B80" w:rsidP="00E369DE">
      <w:pPr>
        <w:pStyle w:val="Heading1"/>
        <w:tabs>
          <w:tab w:val="left" w:pos="6675"/>
        </w:tabs>
        <w:ind w:left="-2160" w:firstLine="180"/>
        <w:rPr>
          <w:rFonts w:ascii="Garamond" w:hAnsi="Garamond"/>
          <w:bCs w:val="0"/>
          <w:color w:val="auto"/>
          <w:kern w:val="0"/>
          <w:sz w:val="24"/>
          <w:szCs w:val="20"/>
        </w:rPr>
      </w:pPr>
      <w:r>
        <w:rPr>
          <w:sz w:val="24"/>
        </w:rPr>
        <w:t>Discussion</w:t>
      </w:r>
      <w:r w:rsidRPr="007B3038">
        <w:rPr>
          <w:rFonts w:ascii="Garamond" w:hAnsi="Garamond"/>
          <w:bCs w:val="0"/>
          <w:color w:val="auto"/>
          <w:kern w:val="0"/>
          <w:sz w:val="24"/>
          <w:szCs w:val="20"/>
        </w:rPr>
        <w:t xml:space="preserve"> </w:t>
      </w:r>
    </w:p>
    <w:p w14:paraId="64664BA3" w14:textId="5E4F3B9D" w:rsidR="00464DAE" w:rsidRDefault="00AE7FF6" w:rsidP="00926B80">
      <w:pPr>
        <w:ind w:left="-1440"/>
        <w:rPr>
          <w:sz w:val="24"/>
        </w:rPr>
      </w:pPr>
      <w:r>
        <w:rPr>
          <w:sz w:val="24"/>
        </w:rPr>
        <w:t xml:space="preserve">In order for the Service programs to be reasonably comparable between Services, the following issues must be addressed: </w:t>
      </w:r>
    </w:p>
    <w:p w14:paraId="47C3E3D1" w14:textId="310DE708" w:rsidR="00AE7FF6" w:rsidRDefault="00AE7FF6" w:rsidP="00AE7FF6">
      <w:pPr>
        <w:pStyle w:val="ListParagraph"/>
        <w:numPr>
          <w:ilvl w:val="0"/>
          <w:numId w:val="27"/>
        </w:numPr>
        <w:rPr>
          <w:sz w:val="24"/>
        </w:rPr>
      </w:pPr>
      <w:r>
        <w:rPr>
          <w:sz w:val="24"/>
        </w:rPr>
        <w:t>The purpose of the 400: Gross Sales account. Consistent with GAAP and general industry practice, the Sales due to core operations, whether they be services or goods,  are intended to be the primary source of revenue and hence a primary indicator of performance.</w:t>
      </w:r>
    </w:p>
    <w:p w14:paraId="727436C2" w14:textId="766D4CDA" w:rsidR="00AE7FF6" w:rsidRDefault="00AE7FF6" w:rsidP="00AE7FF6">
      <w:pPr>
        <w:pStyle w:val="ListParagraph"/>
        <w:numPr>
          <w:ilvl w:val="0"/>
          <w:numId w:val="27"/>
        </w:numPr>
        <w:rPr>
          <w:sz w:val="24"/>
        </w:rPr>
      </w:pPr>
      <w:r>
        <w:rPr>
          <w:sz w:val="24"/>
        </w:rPr>
        <w:t xml:space="preserve">The purpose of the 403: Participation Revenue account. This is an FMR based account. </w:t>
      </w:r>
    </w:p>
    <w:p w14:paraId="121B8C51" w14:textId="55F055DC" w:rsidR="00926B80" w:rsidRPr="004E2B3E" w:rsidRDefault="00AE7FF6" w:rsidP="004E2B3E">
      <w:pPr>
        <w:pStyle w:val="ListParagraph"/>
        <w:numPr>
          <w:ilvl w:val="0"/>
          <w:numId w:val="27"/>
        </w:numPr>
        <w:rPr>
          <w:sz w:val="24"/>
        </w:rPr>
      </w:pPr>
      <w:r>
        <w:rPr>
          <w:sz w:val="24"/>
        </w:rPr>
        <w:t>The issue of Cost of Goods Sold reflecting an inventory-based business, while many of the MWR programs are service-oriented.</w:t>
      </w:r>
    </w:p>
    <w:p w14:paraId="7523FD68" w14:textId="77777777" w:rsidR="004230CA" w:rsidRDefault="004230CA" w:rsidP="00E369DE">
      <w:pPr>
        <w:ind w:left="-1440"/>
        <w:rPr>
          <w:sz w:val="24"/>
        </w:rPr>
      </w:pPr>
    </w:p>
    <w:p w14:paraId="121B8C54" w14:textId="561CDB6F" w:rsidR="00926B80" w:rsidRDefault="00983C17" w:rsidP="00E369DE">
      <w:pPr>
        <w:pStyle w:val="Heading1"/>
        <w:tabs>
          <w:tab w:val="left" w:pos="6675"/>
        </w:tabs>
        <w:ind w:left="-2160" w:firstLine="180"/>
        <w:rPr>
          <w:sz w:val="24"/>
        </w:rPr>
      </w:pPr>
      <w:r>
        <w:rPr>
          <w:sz w:val="24"/>
        </w:rPr>
        <w:t>Recommendation</w:t>
      </w:r>
      <w:r w:rsidR="00926B80">
        <w:rPr>
          <w:sz w:val="24"/>
        </w:rPr>
        <w:t xml:space="preserve">  </w:t>
      </w:r>
    </w:p>
    <w:p w14:paraId="690AE9FD" w14:textId="12D960B4" w:rsidR="004E2B3E" w:rsidRDefault="004E2B3E" w:rsidP="004E2B3E">
      <w:pPr>
        <w:pStyle w:val="ListParagraph"/>
        <w:numPr>
          <w:ilvl w:val="0"/>
          <w:numId w:val="28"/>
        </w:numPr>
        <w:rPr>
          <w:sz w:val="24"/>
        </w:rPr>
      </w:pPr>
      <w:r>
        <w:rPr>
          <w:sz w:val="24"/>
        </w:rPr>
        <w:t xml:space="preserve">Based on the Working Group meeting held on September 20, 2018, the Working Group determined that the status quo of the account definitions was not workable due to the conflation of revenue from services provided and revenue from goods sold being intermixed in the Sales account, while the service revenue could also be included in the Participation fee account. Analysis of the Program Metric Report further confirmed that the lack of clear demarcation between these accounts led to unclear financial reporting. Grant Thornton proposed a series of potential solutions to resolve this issue, and the Working decided upon the following changes to the NAFSGL and related policy: </w:t>
      </w:r>
    </w:p>
    <w:p w14:paraId="5BF8E23F" w14:textId="58FBF1A4" w:rsidR="004E2B3E" w:rsidRDefault="004E2B3E" w:rsidP="004E2B3E">
      <w:pPr>
        <w:pStyle w:val="ListParagraph"/>
        <w:ind w:left="-1080"/>
        <w:rPr>
          <w:sz w:val="24"/>
        </w:rPr>
      </w:pPr>
    </w:p>
    <w:p w14:paraId="544139E2" w14:textId="2979479D" w:rsidR="004E2B3E" w:rsidRDefault="009908A7" w:rsidP="004E2B3E">
      <w:pPr>
        <w:pStyle w:val="ListParagraph"/>
        <w:numPr>
          <w:ilvl w:val="0"/>
          <w:numId w:val="30"/>
        </w:numPr>
        <w:rPr>
          <w:sz w:val="24"/>
        </w:rPr>
      </w:pPr>
      <w:r w:rsidRPr="004E2B3E">
        <w:rPr>
          <w:sz w:val="24"/>
        </w:rPr>
        <w:t>The Gross Sales Account</w:t>
      </w:r>
      <w:r w:rsidR="004E2B3E" w:rsidRPr="004E2B3E">
        <w:rPr>
          <w:sz w:val="24"/>
        </w:rPr>
        <w:t xml:space="preserve"> (currently 400) will be changed to Revenue </w:t>
      </w:r>
      <w:r w:rsidR="00241A50">
        <w:rPr>
          <w:sz w:val="24"/>
        </w:rPr>
        <w:t>f</w:t>
      </w:r>
      <w:r w:rsidR="004E2B3E" w:rsidRPr="004E2B3E">
        <w:rPr>
          <w:sz w:val="24"/>
        </w:rPr>
        <w:t xml:space="preserve">rom Goods Sold and the definition will be adjusted to only include </w:t>
      </w:r>
      <w:r w:rsidRPr="004E2B3E">
        <w:rPr>
          <w:sz w:val="24"/>
        </w:rPr>
        <w:t>sales</w:t>
      </w:r>
      <w:r w:rsidR="004E2B3E" w:rsidRPr="004E2B3E">
        <w:rPr>
          <w:sz w:val="24"/>
        </w:rPr>
        <w:t xml:space="preserve"> revenue</w:t>
      </w:r>
      <w:r w:rsidRPr="004E2B3E">
        <w:rPr>
          <w:sz w:val="24"/>
        </w:rPr>
        <w:t xml:space="preserve"> </w:t>
      </w:r>
      <w:r w:rsidR="004E2B3E" w:rsidRPr="004E2B3E">
        <w:rPr>
          <w:sz w:val="24"/>
        </w:rPr>
        <w:t>from sale of goods</w:t>
      </w:r>
      <w:r w:rsidR="00241A50">
        <w:rPr>
          <w:sz w:val="24"/>
        </w:rPr>
        <w:t xml:space="preserve">, both physical and electronic goods. </w:t>
      </w:r>
    </w:p>
    <w:p w14:paraId="5CE14123" w14:textId="30F3A220" w:rsidR="004E2B3E" w:rsidRDefault="004E2B3E" w:rsidP="00241A50">
      <w:pPr>
        <w:pStyle w:val="ListParagraph"/>
        <w:numPr>
          <w:ilvl w:val="0"/>
          <w:numId w:val="30"/>
        </w:numPr>
        <w:rPr>
          <w:sz w:val="24"/>
        </w:rPr>
      </w:pPr>
      <w:r>
        <w:rPr>
          <w:sz w:val="24"/>
        </w:rPr>
        <w:t>The Participation Fee Revenue Account (currently 403) will be changed to Revenue from Services Provided</w:t>
      </w:r>
      <w:r w:rsidR="006C1910">
        <w:rPr>
          <w:sz w:val="24"/>
        </w:rPr>
        <w:t>.</w:t>
      </w:r>
      <w:r w:rsidR="00CF18F2">
        <w:rPr>
          <w:sz w:val="24"/>
        </w:rPr>
        <w:t xml:space="preserve"> </w:t>
      </w:r>
      <w:r w:rsidR="006C1910">
        <w:rPr>
          <w:sz w:val="24"/>
        </w:rPr>
        <w:t>T</w:t>
      </w:r>
      <w:r>
        <w:rPr>
          <w:sz w:val="24"/>
        </w:rPr>
        <w:t xml:space="preserve">he definition will be adjusted to include </w:t>
      </w:r>
      <w:r w:rsidR="006C1910">
        <w:rPr>
          <w:sz w:val="24"/>
        </w:rPr>
        <w:t xml:space="preserve">the reporting of </w:t>
      </w:r>
      <w:r>
        <w:rPr>
          <w:sz w:val="24"/>
        </w:rPr>
        <w:t>revenue from services provided</w:t>
      </w:r>
      <w:r w:rsidR="006C1910">
        <w:rPr>
          <w:sz w:val="24"/>
        </w:rPr>
        <w:t xml:space="preserve"> and</w:t>
      </w:r>
      <w:r>
        <w:rPr>
          <w:sz w:val="24"/>
        </w:rPr>
        <w:t xml:space="preserve"> participation fee revenue earned by providing an activity to a service member</w:t>
      </w:r>
      <w:r w:rsidR="006C1910">
        <w:rPr>
          <w:sz w:val="24"/>
        </w:rPr>
        <w:t xml:space="preserve"> irrespective of how the Services record the revenues internally</w:t>
      </w:r>
      <w:r>
        <w:rPr>
          <w:sz w:val="24"/>
        </w:rPr>
        <w:t xml:space="preserve">. </w:t>
      </w:r>
      <w:r w:rsidR="00CD5B39">
        <w:rPr>
          <w:sz w:val="24"/>
        </w:rPr>
        <w:t>The Services have the option to record revenue from services separately from participation fee revenue internally as long as both amounts are included in the Revenue from Services Provided GLAC for OSD reporting purposes.</w:t>
      </w:r>
    </w:p>
    <w:p w14:paraId="61D930E8" w14:textId="23077F40" w:rsidR="00241A50" w:rsidRDefault="00241A50" w:rsidP="00241A50">
      <w:pPr>
        <w:pStyle w:val="ListParagraph"/>
        <w:numPr>
          <w:ilvl w:val="0"/>
          <w:numId w:val="30"/>
        </w:numPr>
        <w:rPr>
          <w:sz w:val="24"/>
        </w:rPr>
      </w:pPr>
      <w:r>
        <w:rPr>
          <w:sz w:val="24"/>
        </w:rPr>
        <w:t xml:space="preserve">The Cost of Goods Sold (currently 502) account will remain the same; only including the cost of inventoriable goods sold. Gross margin figures will be determined by subtracting Cost of Goods Sold from the Revenue from Goods Sold account.  </w:t>
      </w:r>
    </w:p>
    <w:p w14:paraId="7925ED10" w14:textId="41DE9C60" w:rsidR="00241A50" w:rsidRPr="00241A50" w:rsidRDefault="00241A50" w:rsidP="00241A50">
      <w:pPr>
        <w:pStyle w:val="ListParagraph"/>
        <w:numPr>
          <w:ilvl w:val="0"/>
          <w:numId w:val="30"/>
        </w:numPr>
        <w:rPr>
          <w:sz w:val="24"/>
        </w:rPr>
      </w:pPr>
      <w:r>
        <w:rPr>
          <w:sz w:val="24"/>
        </w:rPr>
        <w:t xml:space="preserve"> There will not be a Cost of Services Provided GLAC because the Services determined that the cost structure for the program earning revenue from Services provided is predominantly fixed in nature, and therefore a variable cost GLAC is not needed. Grant Thornton further adds that the implementation of such an account would likely lead to inconsistent practices and may compromise the comparability of other expense accounts. </w:t>
      </w:r>
    </w:p>
    <w:p w14:paraId="7DA2FD56" w14:textId="77777777" w:rsidR="00AE4910" w:rsidRPr="00AE4910" w:rsidRDefault="00AE4910" w:rsidP="00AE4910">
      <w:pPr>
        <w:rPr>
          <w:sz w:val="24"/>
        </w:rPr>
      </w:pPr>
    </w:p>
    <w:p w14:paraId="239275C2" w14:textId="6A000488" w:rsidR="0085603F" w:rsidRDefault="00241A50" w:rsidP="0085603F">
      <w:pPr>
        <w:pStyle w:val="ListParagraph"/>
        <w:numPr>
          <w:ilvl w:val="0"/>
          <w:numId w:val="28"/>
        </w:numPr>
        <w:rPr>
          <w:sz w:val="24"/>
        </w:rPr>
      </w:pPr>
      <w:r>
        <w:rPr>
          <w:sz w:val="24"/>
        </w:rPr>
        <w:t xml:space="preserve">Additionally, Grant Thornton recommends that OSD and Grant Thornton work together to implement the above instructions ahead of the Program Metric Report. </w:t>
      </w:r>
      <w:r w:rsidRPr="00AE7FF6">
        <w:rPr>
          <w:sz w:val="24"/>
        </w:rPr>
        <w:t xml:space="preserve">The </w:t>
      </w:r>
      <w:r>
        <w:rPr>
          <w:sz w:val="24"/>
        </w:rPr>
        <w:t>Program Metric Instructions may need to</w:t>
      </w:r>
      <w:r w:rsidRPr="00AE7FF6">
        <w:rPr>
          <w:sz w:val="24"/>
        </w:rPr>
        <w:t xml:space="preserve"> be changed to reflect the above decisions, and properly categorize types of </w:t>
      </w:r>
      <w:r>
        <w:rPr>
          <w:sz w:val="24"/>
        </w:rPr>
        <w:t>r</w:t>
      </w:r>
      <w:r w:rsidRPr="00AE7FF6">
        <w:rPr>
          <w:sz w:val="24"/>
        </w:rPr>
        <w:t>evenue</w:t>
      </w:r>
      <w:r>
        <w:rPr>
          <w:sz w:val="24"/>
        </w:rPr>
        <w:t>.</w:t>
      </w:r>
    </w:p>
    <w:p w14:paraId="58A5C193" w14:textId="0D247C50" w:rsidR="00241A50" w:rsidRPr="0085603F" w:rsidRDefault="00241A50" w:rsidP="0085603F">
      <w:pPr>
        <w:pStyle w:val="ListParagraph"/>
        <w:numPr>
          <w:ilvl w:val="0"/>
          <w:numId w:val="28"/>
        </w:numPr>
        <w:rPr>
          <w:sz w:val="24"/>
        </w:rPr>
      </w:pPr>
      <w:r>
        <w:rPr>
          <w:sz w:val="24"/>
        </w:rPr>
        <w:lastRenderedPageBreak/>
        <w:t xml:space="preserve">This paper will require adjustment to the FMR and the NAFSGL. </w:t>
      </w:r>
    </w:p>
    <w:p w14:paraId="233841D7" w14:textId="77777777" w:rsidR="000E4E16" w:rsidRDefault="000E4E16" w:rsidP="000E4E16">
      <w:pPr>
        <w:pStyle w:val="ListParagraph"/>
        <w:ind w:left="-360"/>
        <w:rPr>
          <w:sz w:val="24"/>
        </w:rPr>
      </w:pPr>
    </w:p>
    <w:p w14:paraId="7DB0BEF3" w14:textId="0F8E2B16" w:rsidR="0085603F" w:rsidRPr="0085603F" w:rsidRDefault="0085603F" w:rsidP="0085603F">
      <w:pPr>
        <w:rPr>
          <w:sz w:val="24"/>
        </w:rPr>
      </w:pPr>
    </w:p>
    <w:p w14:paraId="2052377E" w14:textId="333D650A" w:rsidR="00241A50" w:rsidRDefault="00241A50" w:rsidP="00241A50">
      <w:pPr>
        <w:pStyle w:val="Heading1"/>
        <w:tabs>
          <w:tab w:val="left" w:pos="6675"/>
        </w:tabs>
        <w:spacing w:line="240" w:lineRule="auto"/>
        <w:ind w:left="-2160" w:firstLine="180"/>
        <w:rPr>
          <w:sz w:val="24"/>
        </w:rPr>
      </w:pPr>
      <w:r>
        <w:rPr>
          <w:sz w:val="24"/>
        </w:rPr>
        <w:t>Service Concurrence</w:t>
      </w:r>
    </w:p>
    <w:tbl>
      <w:tblPr>
        <w:tblStyle w:val="TableGrid"/>
        <w:tblpPr w:leftFromText="180" w:rightFromText="180" w:vertAnchor="text" w:horzAnchor="page" w:tblpX="793" w:tblpY="314"/>
        <w:tblW w:w="13408" w:type="dxa"/>
        <w:tblLook w:val="04A0" w:firstRow="1" w:lastRow="0" w:firstColumn="1" w:lastColumn="0" w:noHBand="0" w:noVBand="1"/>
      </w:tblPr>
      <w:tblGrid>
        <w:gridCol w:w="2065"/>
        <w:gridCol w:w="2610"/>
        <w:gridCol w:w="8733"/>
      </w:tblGrid>
      <w:tr w:rsidR="00241A50" w14:paraId="464A928C" w14:textId="77777777" w:rsidTr="00CF18F2">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279845" w14:textId="77777777" w:rsidR="00241A50" w:rsidRDefault="00241A50" w:rsidP="006C2AA4">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6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094B16" w14:textId="77777777" w:rsidR="00241A50" w:rsidRDefault="00241A50" w:rsidP="006C2AA4">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92516C" w14:textId="77777777" w:rsidR="00241A50" w:rsidRDefault="00241A50" w:rsidP="006C2AA4">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 for Non-concurrence</w:t>
            </w:r>
          </w:p>
        </w:tc>
      </w:tr>
      <w:tr w:rsidR="00241A50" w14:paraId="6340096D" w14:textId="77777777" w:rsidTr="00CF18F2">
        <w:trPr>
          <w:trHeight w:val="515"/>
        </w:trPr>
        <w:tc>
          <w:tcPr>
            <w:tcW w:w="2065" w:type="dxa"/>
            <w:tcBorders>
              <w:top w:val="single" w:sz="4" w:space="0" w:color="auto"/>
              <w:left w:val="single" w:sz="4" w:space="0" w:color="auto"/>
              <w:bottom w:val="single" w:sz="4" w:space="0" w:color="auto"/>
              <w:right w:val="single" w:sz="4" w:space="0" w:color="auto"/>
            </w:tcBorders>
            <w:hideMark/>
          </w:tcPr>
          <w:p w14:paraId="35E4D76E" w14:textId="77777777" w:rsidR="00241A50" w:rsidRDefault="00241A50" w:rsidP="006C2AA4">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2610" w:type="dxa"/>
            <w:tcBorders>
              <w:top w:val="single" w:sz="4" w:space="0" w:color="auto"/>
              <w:left w:val="single" w:sz="4" w:space="0" w:color="auto"/>
              <w:bottom w:val="single" w:sz="4" w:space="0" w:color="auto"/>
              <w:right w:val="single" w:sz="4" w:space="0" w:color="auto"/>
            </w:tcBorders>
          </w:tcPr>
          <w:p w14:paraId="2729773F" w14:textId="101B2BF6" w:rsidR="00241A50" w:rsidRPr="00CF18F2" w:rsidRDefault="00CF18F2" w:rsidP="006C2AA4">
            <w:pPr>
              <w:pStyle w:val="Heading1"/>
              <w:tabs>
                <w:tab w:val="left" w:pos="6675"/>
              </w:tabs>
              <w:rPr>
                <w:rFonts w:asciiTheme="minorHAnsi" w:hAnsiTheme="minorHAnsi" w:cstheme="majorHAnsi"/>
                <w:b/>
                <w:color w:val="auto"/>
                <w:sz w:val="24"/>
              </w:rPr>
            </w:pPr>
            <w:r w:rsidRPr="00CF18F2">
              <w:rPr>
                <w:rFonts w:asciiTheme="minorHAnsi" w:hAnsiTheme="minorHAnsi" w:cstheme="majorHAnsi"/>
                <w:b/>
                <w:color w:val="auto"/>
                <w:sz w:val="24"/>
              </w:rPr>
              <w:t>Concurred 11/15/2018.</w:t>
            </w:r>
          </w:p>
        </w:tc>
        <w:tc>
          <w:tcPr>
            <w:tcW w:w="8733" w:type="dxa"/>
            <w:tcBorders>
              <w:top w:val="single" w:sz="4" w:space="0" w:color="auto"/>
              <w:left w:val="single" w:sz="4" w:space="0" w:color="auto"/>
              <w:bottom w:val="single" w:sz="4" w:space="0" w:color="auto"/>
              <w:right w:val="single" w:sz="4" w:space="0" w:color="auto"/>
            </w:tcBorders>
          </w:tcPr>
          <w:p w14:paraId="7CD06F05" w14:textId="77777777" w:rsidR="00241A50" w:rsidRDefault="00241A50" w:rsidP="006C2AA4">
            <w:pPr>
              <w:pStyle w:val="Heading1"/>
              <w:tabs>
                <w:tab w:val="left" w:pos="6675"/>
              </w:tabs>
              <w:rPr>
                <w:rFonts w:asciiTheme="minorHAnsi" w:hAnsiTheme="minorHAnsi" w:cstheme="majorHAnsi"/>
                <w:color w:val="auto"/>
                <w:sz w:val="24"/>
              </w:rPr>
            </w:pPr>
          </w:p>
        </w:tc>
      </w:tr>
      <w:tr w:rsidR="00CF18F2" w14:paraId="7D4B79BF" w14:textId="77777777" w:rsidTr="00CF18F2">
        <w:trPr>
          <w:trHeight w:val="488"/>
        </w:trPr>
        <w:tc>
          <w:tcPr>
            <w:tcW w:w="2065" w:type="dxa"/>
            <w:tcBorders>
              <w:top w:val="single" w:sz="4" w:space="0" w:color="auto"/>
              <w:left w:val="single" w:sz="4" w:space="0" w:color="auto"/>
              <w:bottom w:val="single" w:sz="4" w:space="0" w:color="auto"/>
              <w:right w:val="single" w:sz="4" w:space="0" w:color="auto"/>
            </w:tcBorders>
            <w:hideMark/>
          </w:tcPr>
          <w:p w14:paraId="2AB6891E" w14:textId="77777777" w:rsidR="00CF18F2" w:rsidRDefault="00CF18F2" w:rsidP="00CF18F2">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2610" w:type="dxa"/>
            <w:tcBorders>
              <w:top w:val="single" w:sz="4" w:space="0" w:color="auto"/>
              <w:left w:val="single" w:sz="4" w:space="0" w:color="auto"/>
              <w:bottom w:val="single" w:sz="4" w:space="0" w:color="auto"/>
              <w:right w:val="single" w:sz="4" w:space="0" w:color="auto"/>
            </w:tcBorders>
          </w:tcPr>
          <w:p w14:paraId="37B71AAB" w14:textId="5A8B71F3" w:rsidR="00CF18F2" w:rsidRDefault="00CF18F2" w:rsidP="00CF18F2">
            <w:pPr>
              <w:pStyle w:val="Heading1"/>
              <w:tabs>
                <w:tab w:val="left" w:pos="6675"/>
              </w:tabs>
              <w:rPr>
                <w:rFonts w:asciiTheme="minorHAnsi" w:hAnsiTheme="minorHAnsi" w:cstheme="majorHAnsi"/>
                <w:color w:val="auto"/>
                <w:sz w:val="24"/>
              </w:rPr>
            </w:pPr>
            <w:r w:rsidRPr="00CF18F2">
              <w:rPr>
                <w:rFonts w:asciiTheme="minorHAnsi" w:hAnsiTheme="minorHAnsi" w:cstheme="majorHAnsi"/>
                <w:b/>
                <w:color w:val="auto"/>
                <w:sz w:val="24"/>
              </w:rPr>
              <w:t>Concurred 11/15/2018.</w:t>
            </w:r>
          </w:p>
        </w:tc>
        <w:tc>
          <w:tcPr>
            <w:tcW w:w="8733" w:type="dxa"/>
            <w:tcBorders>
              <w:top w:val="single" w:sz="4" w:space="0" w:color="auto"/>
              <w:left w:val="single" w:sz="4" w:space="0" w:color="auto"/>
              <w:bottom w:val="single" w:sz="4" w:space="0" w:color="auto"/>
              <w:right w:val="single" w:sz="4" w:space="0" w:color="auto"/>
            </w:tcBorders>
          </w:tcPr>
          <w:p w14:paraId="0686D2A3" w14:textId="77777777" w:rsidR="00CF18F2" w:rsidRDefault="00CF18F2" w:rsidP="00CF18F2">
            <w:pPr>
              <w:pStyle w:val="Heading1"/>
              <w:tabs>
                <w:tab w:val="left" w:pos="6675"/>
              </w:tabs>
              <w:rPr>
                <w:rFonts w:asciiTheme="minorHAnsi" w:hAnsiTheme="minorHAnsi" w:cstheme="majorHAnsi"/>
                <w:color w:val="auto"/>
                <w:sz w:val="24"/>
              </w:rPr>
            </w:pPr>
          </w:p>
        </w:tc>
      </w:tr>
      <w:tr w:rsidR="00CF18F2" w14:paraId="2C032343" w14:textId="77777777" w:rsidTr="00CF18F2">
        <w:trPr>
          <w:trHeight w:val="470"/>
        </w:trPr>
        <w:tc>
          <w:tcPr>
            <w:tcW w:w="2065" w:type="dxa"/>
            <w:tcBorders>
              <w:top w:val="single" w:sz="4" w:space="0" w:color="auto"/>
              <w:left w:val="single" w:sz="4" w:space="0" w:color="auto"/>
              <w:bottom w:val="single" w:sz="4" w:space="0" w:color="auto"/>
              <w:right w:val="single" w:sz="4" w:space="0" w:color="auto"/>
            </w:tcBorders>
            <w:hideMark/>
          </w:tcPr>
          <w:p w14:paraId="538A9FFA" w14:textId="77777777" w:rsidR="00CF18F2" w:rsidRDefault="00CF18F2" w:rsidP="00CF18F2">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2610" w:type="dxa"/>
            <w:tcBorders>
              <w:top w:val="single" w:sz="4" w:space="0" w:color="auto"/>
              <w:left w:val="single" w:sz="4" w:space="0" w:color="auto"/>
              <w:bottom w:val="single" w:sz="4" w:space="0" w:color="auto"/>
              <w:right w:val="single" w:sz="4" w:space="0" w:color="auto"/>
            </w:tcBorders>
          </w:tcPr>
          <w:p w14:paraId="082822F3" w14:textId="679F3179" w:rsidR="00CF18F2" w:rsidRPr="00164FD1" w:rsidRDefault="00CF18F2" w:rsidP="00CF18F2">
            <w:pPr>
              <w:rPr>
                <w:rFonts w:asciiTheme="minorHAnsi" w:hAnsiTheme="minorHAnsi" w:cstheme="majorHAnsi"/>
                <w:bCs/>
                <w:kern w:val="32"/>
                <w:sz w:val="24"/>
                <w:szCs w:val="28"/>
              </w:rPr>
            </w:pPr>
            <w:r w:rsidRPr="00CF18F2">
              <w:rPr>
                <w:rFonts w:asciiTheme="minorHAnsi" w:hAnsiTheme="minorHAnsi" w:cstheme="majorHAnsi"/>
                <w:b/>
                <w:sz w:val="24"/>
              </w:rPr>
              <w:t xml:space="preserve">Concurred </w:t>
            </w:r>
            <w:r>
              <w:rPr>
                <w:rFonts w:asciiTheme="minorHAnsi" w:hAnsiTheme="minorHAnsi" w:cstheme="majorHAnsi"/>
                <w:b/>
                <w:sz w:val="24"/>
              </w:rPr>
              <w:t>1/8/2019</w:t>
            </w:r>
            <w:r w:rsidRPr="00CF18F2">
              <w:rPr>
                <w:rFonts w:asciiTheme="minorHAnsi" w:hAnsiTheme="minorHAnsi" w:cstheme="majorHAnsi"/>
                <w:b/>
                <w:sz w:val="24"/>
              </w:rPr>
              <w:t>.</w:t>
            </w:r>
          </w:p>
        </w:tc>
        <w:tc>
          <w:tcPr>
            <w:tcW w:w="8733" w:type="dxa"/>
            <w:tcBorders>
              <w:top w:val="single" w:sz="4" w:space="0" w:color="auto"/>
              <w:left w:val="single" w:sz="4" w:space="0" w:color="auto"/>
              <w:bottom w:val="single" w:sz="4" w:space="0" w:color="auto"/>
              <w:right w:val="single" w:sz="4" w:space="0" w:color="auto"/>
            </w:tcBorders>
          </w:tcPr>
          <w:p w14:paraId="06D171B0" w14:textId="77777777" w:rsidR="00CF18F2" w:rsidRPr="00164FD1" w:rsidRDefault="00CF18F2" w:rsidP="00CF18F2">
            <w:pPr>
              <w:rPr>
                <w:rFonts w:asciiTheme="minorHAnsi" w:hAnsiTheme="minorHAnsi" w:cstheme="majorHAnsi"/>
                <w:bCs/>
                <w:kern w:val="32"/>
                <w:sz w:val="24"/>
                <w:szCs w:val="28"/>
              </w:rPr>
            </w:pPr>
          </w:p>
        </w:tc>
      </w:tr>
      <w:tr w:rsidR="00CF18F2" w14:paraId="1948BD96" w14:textId="77777777" w:rsidTr="00CF18F2">
        <w:tc>
          <w:tcPr>
            <w:tcW w:w="2065" w:type="dxa"/>
            <w:tcBorders>
              <w:top w:val="single" w:sz="4" w:space="0" w:color="auto"/>
              <w:left w:val="single" w:sz="4" w:space="0" w:color="auto"/>
              <w:bottom w:val="single" w:sz="4" w:space="0" w:color="auto"/>
              <w:right w:val="single" w:sz="4" w:space="0" w:color="auto"/>
            </w:tcBorders>
            <w:hideMark/>
          </w:tcPr>
          <w:p w14:paraId="0F6C8F45" w14:textId="77777777" w:rsidR="00CF18F2" w:rsidRDefault="00CF18F2" w:rsidP="00CF18F2">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2610" w:type="dxa"/>
            <w:tcBorders>
              <w:top w:val="single" w:sz="4" w:space="0" w:color="auto"/>
              <w:left w:val="single" w:sz="4" w:space="0" w:color="auto"/>
              <w:bottom w:val="single" w:sz="4" w:space="0" w:color="auto"/>
              <w:right w:val="single" w:sz="4" w:space="0" w:color="auto"/>
            </w:tcBorders>
          </w:tcPr>
          <w:p w14:paraId="52C0F9F2" w14:textId="100C4ABE" w:rsidR="00CF18F2" w:rsidRDefault="00CF18F2" w:rsidP="00CF18F2">
            <w:pPr>
              <w:pStyle w:val="Heading1"/>
              <w:tabs>
                <w:tab w:val="left" w:pos="6675"/>
              </w:tabs>
              <w:rPr>
                <w:rFonts w:asciiTheme="minorHAnsi" w:hAnsiTheme="minorHAnsi" w:cstheme="majorHAnsi"/>
                <w:color w:val="auto"/>
                <w:sz w:val="24"/>
              </w:rPr>
            </w:pPr>
            <w:r w:rsidRPr="00CF18F2">
              <w:rPr>
                <w:rFonts w:asciiTheme="minorHAnsi" w:hAnsiTheme="minorHAnsi" w:cstheme="majorHAnsi"/>
                <w:b/>
                <w:color w:val="auto"/>
                <w:sz w:val="24"/>
              </w:rPr>
              <w:t>Concurred 11/15/2018.</w:t>
            </w:r>
          </w:p>
        </w:tc>
        <w:tc>
          <w:tcPr>
            <w:tcW w:w="8733" w:type="dxa"/>
            <w:tcBorders>
              <w:top w:val="single" w:sz="4" w:space="0" w:color="auto"/>
              <w:left w:val="single" w:sz="4" w:space="0" w:color="auto"/>
              <w:bottom w:val="single" w:sz="4" w:space="0" w:color="auto"/>
              <w:right w:val="single" w:sz="4" w:space="0" w:color="auto"/>
            </w:tcBorders>
          </w:tcPr>
          <w:p w14:paraId="50419560" w14:textId="77777777" w:rsidR="00CF18F2" w:rsidRDefault="00CF18F2" w:rsidP="00CF18F2">
            <w:pPr>
              <w:pStyle w:val="Heading1"/>
              <w:tabs>
                <w:tab w:val="left" w:pos="6675"/>
              </w:tabs>
              <w:rPr>
                <w:bCs w:val="0"/>
              </w:rPr>
            </w:pPr>
          </w:p>
          <w:p w14:paraId="7F0C6341" w14:textId="77777777" w:rsidR="00CF18F2" w:rsidRDefault="00CF18F2" w:rsidP="00CF18F2">
            <w:pPr>
              <w:pStyle w:val="Heading1"/>
              <w:tabs>
                <w:tab w:val="left" w:pos="6675"/>
              </w:tabs>
              <w:rPr>
                <w:rFonts w:asciiTheme="minorHAnsi" w:hAnsiTheme="minorHAnsi" w:cstheme="majorHAnsi"/>
                <w:color w:val="auto"/>
                <w:sz w:val="24"/>
              </w:rPr>
            </w:pPr>
          </w:p>
        </w:tc>
      </w:tr>
    </w:tbl>
    <w:p w14:paraId="169DD878" w14:textId="77777777" w:rsidR="00241A50" w:rsidRDefault="00241A50" w:rsidP="00241A50">
      <w:pPr>
        <w:pStyle w:val="Heading1"/>
        <w:tabs>
          <w:tab w:val="left" w:pos="6675"/>
        </w:tabs>
        <w:ind w:left="-2160" w:firstLine="180"/>
        <w:rPr>
          <w:sz w:val="24"/>
        </w:rPr>
      </w:pPr>
    </w:p>
    <w:p w14:paraId="4086372E" w14:textId="77777777" w:rsidR="00241A50" w:rsidRDefault="00241A50" w:rsidP="00241A50">
      <w:pPr>
        <w:pStyle w:val="Heading1"/>
        <w:tabs>
          <w:tab w:val="left" w:pos="6675"/>
        </w:tabs>
        <w:ind w:left="-2160" w:firstLine="180"/>
        <w:rPr>
          <w:sz w:val="24"/>
        </w:rPr>
      </w:pPr>
    </w:p>
    <w:p w14:paraId="77FFB367" w14:textId="77777777" w:rsidR="00241A50" w:rsidRDefault="00241A50" w:rsidP="00241A50">
      <w:pPr>
        <w:pStyle w:val="Heading1"/>
        <w:tabs>
          <w:tab w:val="left" w:pos="6675"/>
        </w:tabs>
        <w:ind w:left="-2160" w:firstLine="180"/>
        <w:rPr>
          <w:sz w:val="24"/>
        </w:rPr>
      </w:pPr>
    </w:p>
    <w:p w14:paraId="27927280" w14:textId="77777777" w:rsidR="00241A50" w:rsidRPr="002A2C65" w:rsidRDefault="00241A50" w:rsidP="00241A50">
      <w:pPr>
        <w:pStyle w:val="BodyText"/>
      </w:pPr>
    </w:p>
    <w:p w14:paraId="383F6A8C" w14:textId="77777777" w:rsidR="00241A50" w:rsidRDefault="00241A50" w:rsidP="00241A50">
      <w:pPr>
        <w:pStyle w:val="Heading1"/>
        <w:tabs>
          <w:tab w:val="left" w:pos="6675"/>
        </w:tabs>
        <w:ind w:left="-2160" w:firstLine="180"/>
        <w:rPr>
          <w:sz w:val="24"/>
        </w:rPr>
      </w:pPr>
    </w:p>
    <w:p w14:paraId="73E752B9" w14:textId="77777777" w:rsidR="00241A50" w:rsidRDefault="00241A50" w:rsidP="00241A50">
      <w:pPr>
        <w:pStyle w:val="Heading1"/>
        <w:tabs>
          <w:tab w:val="left" w:pos="6675"/>
        </w:tabs>
        <w:ind w:left="-2160" w:firstLine="180"/>
        <w:rPr>
          <w:sz w:val="24"/>
        </w:rPr>
      </w:pPr>
    </w:p>
    <w:p w14:paraId="0C5D898F" w14:textId="77777777" w:rsidR="00241A50" w:rsidRDefault="00241A50" w:rsidP="00241A50">
      <w:pPr>
        <w:pStyle w:val="Heading1"/>
        <w:tabs>
          <w:tab w:val="left" w:pos="6675"/>
        </w:tabs>
        <w:ind w:left="-2160" w:firstLine="180"/>
        <w:rPr>
          <w:sz w:val="24"/>
        </w:rPr>
      </w:pPr>
    </w:p>
    <w:p w14:paraId="7B72DA49" w14:textId="77777777" w:rsidR="00241A50" w:rsidRDefault="00241A50" w:rsidP="00241A50">
      <w:pPr>
        <w:pStyle w:val="Heading1"/>
        <w:tabs>
          <w:tab w:val="left" w:pos="6675"/>
        </w:tabs>
        <w:ind w:left="-2160" w:firstLine="180"/>
        <w:rPr>
          <w:sz w:val="24"/>
        </w:rPr>
      </w:pPr>
    </w:p>
    <w:p w14:paraId="002D0A39" w14:textId="77777777" w:rsidR="00241A50" w:rsidRDefault="00241A50" w:rsidP="00241A50">
      <w:pPr>
        <w:pStyle w:val="Heading1"/>
        <w:tabs>
          <w:tab w:val="left" w:pos="6675"/>
        </w:tabs>
        <w:ind w:left="-2160" w:firstLine="180"/>
        <w:rPr>
          <w:sz w:val="24"/>
        </w:rPr>
      </w:pPr>
      <w:r>
        <w:rPr>
          <w:sz w:val="24"/>
        </w:rPr>
        <w:t>USD(P&amp;R)/MC&amp;FP Disposition</w:t>
      </w:r>
    </w:p>
    <w:p w14:paraId="62A84B64" w14:textId="77777777" w:rsidR="00F10523" w:rsidRPr="00932F0A" w:rsidRDefault="00F10523" w:rsidP="00F10523">
      <w:pPr>
        <w:pStyle w:val="ChapterTitle"/>
        <w:rPr>
          <w:rFonts w:asciiTheme="minorHAnsi" w:hAnsiTheme="minorHAnsi"/>
          <w:sz w:val="24"/>
        </w:rPr>
      </w:pPr>
      <w:r>
        <w:rPr>
          <w:rFonts w:asciiTheme="minorHAnsi" w:hAnsiTheme="minorHAnsi"/>
          <w:sz w:val="24"/>
        </w:rPr>
        <w:t>No further action.</w:t>
      </w:r>
    </w:p>
    <w:p w14:paraId="2E300D4C" w14:textId="77777777" w:rsidR="00241A50" w:rsidRDefault="00241A50" w:rsidP="00241A50">
      <w:pPr>
        <w:pStyle w:val="Heading1"/>
        <w:tabs>
          <w:tab w:val="left" w:pos="6675"/>
        </w:tabs>
        <w:ind w:left="-2160" w:firstLine="180"/>
        <w:rPr>
          <w:sz w:val="24"/>
        </w:rPr>
      </w:pPr>
    </w:p>
    <w:p w14:paraId="047AE452" w14:textId="77777777" w:rsidR="00241A50" w:rsidRDefault="00241A50" w:rsidP="00241A50">
      <w:pPr>
        <w:pStyle w:val="Heading1"/>
        <w:tabs>
          <w:tab w:val="left" w:pos="6675"/>
        </w:tabs>
        <w:ind w:left="-2160" w:firstLine="180"/>
        <w:rPr>
          <w:rFonts w:ascii="Garamond" w:hAnsi="Garamond"/>
          <w:bCs w:val="0"/>
          <w:color w:val="auto"/>
          <w:kern w:val="0"/>
          <w:sz w:val="24"/>
          <w:szCs w:val="20"/>
        </w:rPr>
      </w:pPr>
      <w:r>
        <w:rPr>
          <w:sz w:val="24"/>
        </w:rPr>
        <w:t>DFAS Disposition</w:t>
      </w:r>
      <w:r w:rsidRPr="00F47C97">
        <w:rPr>
          <w:rFonts w:ascii="Garamond" w:hAnsi="Garamond"/>
          <w:bCs w:val="0"/>
          <w:color w:val="auto"/>
          <w:kern w:val="0"/>
          <w:sz w:val="24"/>
          <w:szCs w:val="20"/>
        </w:rPr>
        <w:t xml:space="preserve"> </w:t>
      </w:r>
      <w:r>
        <w:rPr>
          <w:rFonts w:ascii="Garamond" w:hAnsi="Garamond"/>
          <w:bCs w:val="0"/>
          <w:color w:val="auto"/>
          <w:kern w:val="0"/>
          <w:sz w:val="24"/>
          <w:szCs w:val="20"/>
        </w:rPr>
        <w:t xml:space="preserve">      </w:t>
      </w:r>
    </w:p>
    <w:p w14:paraId="166D084C" w14:textId="48C0F0C6" w:rsidR="00F10523" w:rsidRPr="00932F0A" w:rsidRDefault="00F10523" w:rsidP="00F10523">
      <w:pPr>
        <w:pStyle w:val="ChapterTitle"/>
        <w:rPr>
          <w:rFonts w:asciiTheme="minorHAnsi" w:hAnsiTheme="minorHAnsi"/>
          <w:sz w:val="24"/>
        </w:rPr>
      </w:pPr>
      <w:r>
        <w:rPr>
          <w:rFonts w:asciiTheme="minorHAnsi" w:hAnsiTheme="minorHAnsi"/>
          <w:sz w:val="24"/>
        </w:rPr>
        <w:t>Revise FMR</w:t>
      </w:r>
      <w:r w:rsidR="005D45FF">
        <w:rPr>
          <w:rFonts w:asciiTheme="minorHAnsi" w:hAnsiTheme="minorHAnsi"/>
          <w:sz w:val="24"/>
        </w:rPr>
        <w:t xml:space="preserve"> to reflect account changes listed above, particularly the distinguishment between the revenue accounts and COGS account</w:t>
      </w:r>
      <w:r>
        <w:rPr>
          <w:rFonts w:asciiTheme="minorHAnsi" w:hAnsiTheme="minorHAnsi"/>
          <w:sz w:val="24"/>
        </w:rPr>
        <w:t>.</w:t>
      </w:r>
    </w:p>
    <w:p w14:paraId="63C312DA" w14:textId="0B9DEBF9" w:rsidR="00241A50" w:rsidRDefault="00241A50" w:rsidP="00F10523">
      <w:pPr>
        <w:pStyle w:val="Heading1"/>
        <w:tabs>
          <w:tab w:val="left" w:pos="6675"/>
        </w:tabs>
        <w:rPr>
          <w:sz w:val="24"/>
        </w:rPr>
      </w:pPr>
    </w:p>
    <w:p w14:paraId="4DB71029" w14:textId="77777777" w:rsidR="00241A50" w:rsidRPr="007114E2" w:rsidRDefault="00241A50" w:rsidP="00241A50">
      <w:pPr>
        <w:pStyle w:val="Heading1"/>
        <w:tabs>
          <w:tab w:val="left" w:pos="6675"/>
        </w:tabs>
        <w:ind w:left="-2160" w:firstLine="180"/>
        <w:rPr>
          <w:rFonts w:ascii="Garamond" w:hAnsi="Garamond"/>
          <w:bCs w:val="0"/>
          <w:color w:val="auto"/>
          <w:kern w:val="0"/>
          <w:sz w:val="24"/>
          <w:szCs w:val="20"/>
        </w:rPr>
      </w:pPr>
      <w:r w:rsidRPr="007B3038">
        <w:rPr>
          <w:sz w:val="24"/>
        </w:rPr>
        <w:t xml:space="preserve">Forward to </w:t>
      </w:r>
      <w:r>
        <w:rPr>
          <w:sz w:val="24"/>
        </w:rPr>
        <w:t>DoD</w:t>
      </w:r>
      <w:r w:rsidRPr="007B3038">
        <w:rPr>
          <w:sz w:val="24"/>
        </w:rPr>
        <w:t xml:space="preserve">IG?    </w:t>
      </w:r>
    </w:p>
    <w:p w14:paraId="06B5053F" w14:textId="5FE38329" w:rsidR="00F10523" w:rsidRPr="00932F0A" w:rsidRDefault="005D45FF" w:rsidP="00F10523">
      <w:pPr>
        <w:pStyle w:val="ChapterTitle"/>
        <w:rPr>
          <w:rFonts w:asciiTheme="minorHAnsi" w:hAnsiTheme="minorHAnsi"/>
          <w:sz w:val="24"/>
        </w:rPr>
      </w:pPr>
      <w:r>
        <w:rPr>
          <w:rFonts w:asciiTheme="minorHAnsi" w:hAnsiTheme="minorHAnsi"/>
          <w:sz w:val="24"/>
        </w:rPr>
        <w:t>No DoDIG equities</w:t>
      </w:r>
      <w:r w:rsidR="00F10523">
        <w:rPr>
          <w:rFonts w:asciiTheme="minorHAnsi" w:hAnsiTheme="minorHAnsi"/>
          <w:sz w:val="24"/>
        </w:rPr>
        <w:t>.</w:t>
      </w:r>
    </w:p>
    <w:p w14:paraId="121B8C77" w14:textId="416BF6BA" w:rsidR="00926B80" w:rsidRPr="00F10523" w:rsidRDefault="00926B80" w:rsidP="00F10523">
      <w:pPr>
        <w:rPr>
          <w:sz w:val="24"/>
        </w:rPr>
      </w:pPr>
    </w:p>
    <w:sectPr w:rsidR="00926B80" w:rsidRPr="00F10523" w:rsidSect="00BB5F9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68BA" w14:textId="77777777" w:rsidR="00B94E63" w:rsidRDefault="00B94E63">
      <w:r>
        <w:separator/>
      </w:r>
    </w:p>
  </w:endnote>
  <w:endnote w:type="continuationSeparator" w:id="0">
    <w:p w14:paraId="22C61E38" w14:textId="77777777" w:rsidR="00B94E63" w:rsidRDefault="00B9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BF91" w14:textId="77777777" w:rsidR="00241A50" w:rsidRDefault="00241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121B8C7E" w14:textId="29347017" w:rsidR="001B3190" w:rsidRDefault="00834B9A" w:rsidP="001B3190">
        <w:pPr>
          <w:pStyle w:val="Footer"/>
          <w:jc w:val="right"/>
          <w:rPr>
            <w:noProof/>
          </w:rPr>
        </w:pPr>
        <w:r>
          <w:fldChar w:fldCharType="begin"/>
        </w:r>
        <w:r>
          <w:instrText xml:space="preserve"> PAGE   \* MERGEFORMAT </w:instrText>
        </w:r>
        <w:r>
          <w:fldChar w:fldCharType="separate"/>
        </w:r>
        <w:r w:rsidR="00C5548F">
          <w:rPr>
            <w:noProof/>
          </w:rPr>
          <w:t>3</w:t>
        </w:r>
        <w:r>
          <w:rPr>
            <w:noProof/>
          </w:rPr>
          <w:fldChar w:fldCharType="end"/>
        </w:r>
      </w:p>
      <w:p w14:paraId="121B8C7F" w14:textId="1FC4C534" w:rsidR="00834B9A" w:rsidRDefault="0085603F" w:rsidP="001B3190">
        <w:pPr>
          <w:pStyle w:val="Footer"/>
          <w:jc w:val="right"/>
        </w:pPr>
        <w:r>
          <w:rPr>
            <w:noProof/>
          </w:rPr>
          <w:t>S</w:t>
        </w:r>
        <w:r w:rsidR="00A4294C">
          <w:rPr>
            <w:noProof/>
          </w:rPr>
          <w:t>eptembr 7</w:t>
        </w:r>
        <w:r w:rsidR="001B3190">
          <w:rPr>
            <w:noProof/>
          </w:rPr>
          <w:t>, 201</w:t>
        </w:r>
        <w:r w:rsidR="009F7D31">
          <w:rPr>
            <w:noProof/>
          </w:rPr>
          <w:t>8</w:t>
        </w:r>
      </w:p>
    </w:sdtContent>
  </w:sdt>
  <w:p w14:paraId="121B8C80" w14:textId="77777777" w:rsidR="00834B9A" w:rsidRDefault="00834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ACF4" w14:textId="77777777" w:rsidR="00241A50" w:rsidRDefault="0024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FA40" w14:textId="77777777" w:rsidR="00B94E63" w:rsidRDefault="00B94E63">
      <w:r>
        <w:separator/>
      </w:r>
    </w:p>
  </w:footnote>
  <w:footnote w:type="continuationSeparator" w:id="0">
    <w:p w14:paraId="4913AFE4" w14:textId="77777777" w:rsidR="00B94E63" w:rsidRDefault="00B9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B7DE" w14:textId="77777777" w:rsidR="00241A50" w:rsidRDefault="00241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D418" w14:textId="77777777" w:rsidR="00981EBD" w:rsidRDefault="00981EBD" w:rsidP="009F7D31">
    <w:pPr>
      <w:pStyle w:val="Header"/>
      <w:ind w:right="1440"/>
      <w:jc w:val="center"/>
      <w:rPr>
        <w:rFonts w:asciiTheme="minorHAnsi" w:hAnsiTheme="minorHAnsi"/>
        <w:sz w:val="32"/>
      </w:rPr>
    </w:pPr>
    <w:r>
      <w:rPr>
        <w:rFonts w:asciiTheme="minorHAnsi" w:hAnsiTheme="minorHAnsi"/>
        <w:sz w:val="32"/>
      </w:rPr>
      <w:t>NAF Accounting Working Group</w:t>
    </w:r>
  </w:p>
  <w:p w14:paraId="121B8C7C" w14:textId="04A786F0" w:rsidR="00834B9A" w:rsidRDefault="00241A50" w:rsidP="009F7D31">
    <w:pPr>
      <w:pStyle w:val="Header"/>
      <w:ind w:right="1440"/>
      <w:jc w:val="center"/>
      <w:rPr>
        <w:rFonts w:asciiTheme="minorHAnsi" w:hAnsiTheme="minorHAnsi"/>
        <w:sz w:val="32"/>
      </w:rPr>
    </w:pPr>
    <w:r>
      <w:rPr>
        <w:rFonts w:asciiTheme="minorHAnsi" w:hAnsiTheme="minorHAnsi"/>
        <w:sz w:val="32"/>
      </w:rPr>
      <w:t>Revenue from Goods vs</w:t>
    </w:r>
    <w:r w:rsidR="00AC4A8E">
      <w:rPr>
        <w:rFonts w:asciiTheme="minorHAnsi" w:hAnsiTheme="minorHAnsi"/>
        <w:sz w:val="32"/>
      </w:rPr>
      <w:t xml:space="preserve">. </w:t>
    </w:r>
    <w:r>
      <w:rPr>
        <w:rFonts w:asciiTheme="minorHAnsi" w:hAnsiTheme="minorHAnsi"/>
        <w:sz w:val="32"/>
      </w:rPr>
      <w:t>Revenue from Services</w:t>
    </w:r>
  </w:p>
  <w:p w14:paraId="121B8C7D" w14:textId="7C7DA4F0" w:rsidR="00834B9A" w:rsidRPr="00437683" w:rsidRDefault="00241A50" w:rsidP="00241A50">
    <w:pPr>
      <w:pStyle w:val="Header"/>
      <w:tabs>
        <w:tab w:val="left" w:pos="3193"/>
        <w:tab w:val="center" w:pos="5485"/>
      </w:tabs>
      <w:ind w:right="1440"/>
      <w:rPr>
        <w:rFonts w:asciiTheme="minorHAnsi" w:hAnsiTheme="minorHAnsi"/>
        <w:sz w:val="32"/>
      </w:rPr>
    </w:pPr>
    <w:r>
      <w:rPr>
        <w:rFonts w:asciiTheme="minorHAnsi" w:hAnsiTheme="minorHAnsi"/>
        <w:sz w:val="32"/>
      </w:rPr>
      <w:tab/>
    </w:r>
    <w:r>
      <w:rPr>
        <w:rFonts w:asciiTheme="minorHAnsi" w:hAnsiTheme="minorHAnsi"/>
        <w:sz w:val="32"/>
      </w:rPr>
      <w:tab/>
    </w:r>
    <w:r w:rsidR="007245E9">
      <w:rPr>
        <w:rFonts w:asciiTheme="minorHAnsi" w:hAnsiTheme="minorHAnsi"/>
        <w:sz w:val="32"/>
      </w:rPr>
      <w:t>Position</w:t>
    </w:r>
    <w:r w:rsidR="00D0530D">
      <w:rPr>
        <w:rFonts w:asciiTheme="minorHAnsi" w:hAnsiTheme="minorHAnsi"/>
        <w:sz w:val="32"/>
      </w:rPr>
      <w:t xml:space="preserve"> </w:t>
    </w:r>
    <w:r w:rsidR="00813D9E">
      <w:rPr>
        <w:rFonts w:asciiTheme="minorHAnsi" w:hAnsiTheme="minorHAnsi"/>
        <w:sz w:val="32"/>
      </w:rPr>
      <w:t>Paper</w:t>
    </w:r>
    <w:r w:rsidR="00834B9A">
      <w:rPr>
        <w:rFonts w:asciiTheme="minorHAnsi" w:hAnsiTheme="minorHAnsi"/>
        <w:sz w:val="32"/>
      </w:rPr>
      <w:t xml:space="preserve"> </w:t>
    </w:r>
    <w:r w:rsidR="00AC4A8E">
      <w:rPr>
        <w:rFonts w:asciiTheme="minorHAnsi" w:hAnsiTheme="minorHAnsi"/>
        <w:sz w:val="32"/>
      </w:rPr>
      <w:t>#25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B74E2" w14:textId="77777777" w:rsidR="00241A50" w:rsidRDefault="0024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737F72"/>
    <w:multiLevelType w:val="hybridMultilevel"/>
    <w:tmpl w:val="B2029E92"/>
    <w:lvl w:ilvl="0" w:tplc="58D8D944">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F6362"/>
    <w:multiLevelType w:val="hybridMultilevel"/>
    <w:tmpl w:val="E8FC8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8168F"/>
    <w:multiLevelType w:val="hybridMultilevel"/>
    <w:tmpl w:val="80E66C3A"/>
    <w:lvl w:ilvl="0" w:tplc="C54802FA">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1345D"/>
    <w:multiLevelType w:val="hybridMultilevel"/>
    <w:tmpl w:val="485E9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BE34F3A"/>
    <w:multiLevelType w:val="hybridMultilevel"/>
    <w:tmpl w:val="52DC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14F3538"/>
    <w:multiLevelType w:val="hybridMultilevel"/>
    <w:tmpl w:val="B2029E92"/>
    <w:lvl w:ilvl="0" w:tplc="58D8D944">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5"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
  </w:num>
  <w:num w:numId="6">
    <w:abstractNumId w:val="1"/>
  </w:num>
  <w:num w:numId="7">
    <w:abstractNumId w:val="0"/>
  </w:num>
  <w:num w:numId="8">
    <w:abstractNumId w:val="9"/>
  </w:num>
  <w:num w:numId="9">
    <w:abstractNumId w:val="16"/>
  </w:num>
  <w:num w:numId="10">
    <w:abstractNumId w:val="14"/>
  </w:num>
  <w:num w:numId="11">
    <w:abstractNumId w:val="12"/>
  </w:num>
  <w:num w:numId="12">
    <w:abstractNumId w:val="15"/>
  </w:num>
  <w:num w:numId="13">
    <w:abstractNumId w:val="8"/>
  </w:num>
  <w:num w:numId="14">
    <w:abstractNumId w:val="11"/>
  </w:num>
  <w:num w:numId="15">
    <w:abstractNumId w:val="18"/>
  </w:num>
  <w:num w:numId="16">
    <w:abstractNumId w:val="5"/>
  </w:num>
  <w:num w:numId="17">
    <w:abstractNumId w:val="13"/>
  </w:num>
  <w:num w:numId="18">
    <w:abstractNumId w:val="28"/>
  </w:num>
  <w:num w:numId="19">
    <w:abstractNumId w:val="25"/>
  </w:num>
  <w:num w:numId="20">
    <w:abstractNumId w:val="17"/>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6"/>
  </w:num>
  <w:num w:numId="25">
    <w:abstractNumId w:val="19"/>
  </w:num>
  <w:num w:numId="26">
    <w:abstractNumId w:val="20"/>
  </w:num>
  <w:num w:numId="27">
    <w:abstractNumId w:val="24"/>
  </w:num>
  <w:num w:numId="28">
    <w:abstractNumId w:val="10"/>
  </w:num>
  <w:num w:numId="29">
    <w:abstractNumId w:val="22"/>
  </w:num>
  <w:num w:numId="3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151FB"/>
    <w:rsid w:val="00020ABF"/>
    <w:rsid w:val="00035078"/>
    <w:rsid w:val="00074688"/>
    <w:rsid w:val="00074A55"/>
    <w:rsid w:val="00084CD8"/>
    <w:rsid w:val="0009309E"/>
    <w:rsid w:val="0009688F"/>
    <w:rsid w:val="000A17EB"/>
    <w:rsid w:val="000B0C7A"/>
    <w:rsid w:val="000B29A4"/>
    <w:rsid w:val="000B3111"/>
    <w:rsid w:val="000C7B49"/>
    <w:rsid w:val="000D3C52"/>
    <w:rsid w:val="000E4E16"/>
    <w:rsid w:val="000F700D"/>
    <w:rsid w:val="00124B72"/>
    <w:rsid w:val="0012715F"/>
    <w:rsid w:val="00156EF7"/>
    <w:rsid w:val="00177B07"/>
    <w:rsid w:val="001A1529"/>
    <w:rsid w:val="001A3E35"/>
    <w:rsid w:val="001A7F18"/>
    <w:rsid w:val="001B3190"/>
    <w:rsid w:val="001B6DBD"/>
    <w:rsid w:val="001D3D83"/>
    <w:rsid w:val="001D40C4"/>
    <w:rsid w:val="001D4837"/>
    <w:rsid w:val="001E45B8"/>
    <w:rsid w:val="001E60EE"/>
    <w:rsid w:val="001E6F57"/>
    <w:rsid w:val="00200A58"/>
    <w:rsid w:val="00202660"/>
    <w:rsid w:val="002050FD"/>
    <w:rsid w:val="0021044B"/>
    <w:rsid w:val="00213D94"/>
    <w:rsid w:val="002208F1"/>
    <w:rsid w:val="00241A50"/>
    <w:rsid w:val="00244470"/>
    <w:rsid w:val="002479EF"/>
    <w:rsid w:val="00252225"/>
    <w:rsid w:val="00254FC0"/>
    <w:rsid w:val="00257D56"/>
    <w:rsid w:val="00277DC7"/>
    <w:rsid w:val="00281D8A"/>
    <w:rsid w:val="002A5C61"/>
    <w:rsid w:val="002B2A4C"/>
    <w:rsid w:val="002C0344"/>
    <w:rsid w:val="002C131F"/>
    <w:rsid w:val="002C51B2"/>
    <w:rsid w:val="002D1545"/>
    <w:rsid w:val="002E416C"/>
    <w:rsid w:val="002F6648"/>
    <w:rsid w:val="0030084D"/>
    <w:rsid w:val="00300F15"/>
    <w:rsid w:val="00305C57"/>
    <w:rsid w:val="0030628A"/>
    <w:rsid w:val="00364E5E"/>
    <w:rsid w:val="00370C1F"/>
    <w:rsid w:val="00375E78"/>
    <w:rsid w:val="00384C83"/>
    <w:rsid w:val="00391BB7"/>
    <w:rsid w:val="003A1F25"/>
    <w:rsid w:val="003A3A27"/>
    <w:rsid w:val="003A4708"/>
    <w:rsid w:val="003B345C"/>
    <w:rsid w:val="003D27B2"/>
    <w:rsid w:val="003E28A0"/>
    <w:rsid w:val="003E7371"/>
    <w:rsid w:val="003F016B"/>
    <w:rsid w:val="00421A6E"/>
    <w:rsid w:val="0042200D"/>
    <w:rsid w:val="004230CA"/>
    <w:rsid w:val="00426453"/>
    <w:rsid w:val="00437683"/>
    <w:rsid w:val="0044428A"/>
    <w:rsid w:val="00464DAE"/>
    <w:rsid w:val="004855CF"/>
    <w:rsid w:val="00491258"/>
    <w:rsid w:val="004B04B3"/>
    <w:rsid w:val="004B15F8"/>
    <w:rsid w:val="004C0C81"/>
    <w:rsid w:val="004C13D3"/>
    <w:rsid w:val="004C60DD"/>
    <w:rsid w:val="004D0D0D"/>
    <w:rsid w:val="004E2B3E"/>
    <w:rsid w:val="004E456D"/>
    <w:rsid w:val="00500559"/>
    <w:rsid w:val="005056DF"/>
    <w:rsid w:val="00506318"/>
    <w:rsid w:val="00506624"/>
    <w:rsid w:val="00517E60"/>
    <w:rsid w:val="00520EF0"/>
    <w:rsid w:val="00521FAB"/>
    <w:rsid w:val="00540C19"/>
    <w:rsid w:val="005445C4"/>
    <w:rsid w:val="00556680"/>
    <w:rsid w:val="0056384A"/>
    <w:rsid w:val="00583174"/>
    <w:rsid w:val="00595D1F"/>
    <w:rsid w:val="00596B0D"/>
    <w:rsid w:val="005B36B4"/>
    <w:rsid w:val="005B382E"/>
    <w:rsid w:val="005B5833"/>
    <w:rsid w:val="005B6DB0"/>
    <w:rsid w:val="005C0A12"/>
    <w:rsid w:val="005D3273"/>
    <w:rsid w:val="005D45FF"/>
    <w:rsid w:val="005D4A27"/>
    <w:rsid w:val="005D7123"/>
    <w:rsid w:val="005F3D8E"/>
    <w:rsid w:val="005F4E22"/>
    <w:rsid w:val="005F5727"/>
    <w:rsid w:val="006031EE"/>
    <w:rsid w:val="00614C6D"/>
    <w:rsid w:val="00614F7A"/>
    <w:rsid w:val="00617250"/>
    <w:rsid w:val="006227D6"/>
    <w:rsid w:val="0063252B"/>
    <w:rsid w:val="0065297E"/>
    <w:rsid w:val="00655FDE"/>
    <w:rsid w:val="00656B8A"/>
    <w:rsid w:val="00657552"/>
    <w:rsid w:val="006669CE"/>
    <w:rsid w:val="00671B99"/>
    <w:rsid w:val="00677C39"/>
    <w:rsid w:val="00680AC5"/>
    <w:rsid w:val="00694F03"/>
    <w:rsid w:val="006959C4"/>
    <w:rsid w:val="00695E3D"/>
    <w:rsid w:val="00697821"/>
    <w:rsid w:val="006B05F0"/>
    <w:rsid w:val="006B07F7"/>
    <w:rsid w:val="006B6336"/>
    <w:rsid w:val="006B75A6"/>
    <w:rsid w:val="006C1360"/>
    <w:rsid w:val="006C1910"/>
    <w:rsid w:val="00713DA9"/>
    <w:rsid w:val="007245E9"/>
    <w:rsid w:val="0075099F"/>
    <w:rsid w:val="00753436"/>
    <w:rsid w:val="007568FA"/>
    <w:rsid w:val="0076168A"/>
    <w:rsid w:val="00773A0E"/>
    <w:rsid w:val="00793390"/>
    <w:rsid w:val="007B2CA1"/>
    <w:rsid w:val="007B7DBF"/>
    <w:rsid w:val="007C0E62"/>
    <w:rsid w:val="007C4C86"/>
    <w:rsid w:val="007C708F"/>
    <w:rsid w:val="007D61FB"/>
    <w:rsid w:val="007E0913"/>
    <w:rsid w:val="007E4E5C"/>
    <w:rsid w:val="007F205D"/>
    <w:rsid w:val="007F5462"/>
    <w:rsid w:val="007F6A23"/>
    <w:rsid w:val="00800B33"/>
    <w:rsid w:val="00800CD0"/>
    <w:rsid w:val="0081028A"/>
    <w:rsid w:val="00811031"/>
    <w:rsid w:val="00813D9E"/>
    <w:rsid w:val="0082211C"/>
    <w:rsid w:val="00830126"/>
    <w:rsid w:val="00834B9A"/>
    <w:rsid w:val="00835D15"/>
    <w:rsid w:val="00850E2C"/>
    <w:rsid w:val="008514AC"/>
    <w:rsid w:val="0085603F"/>
    <w:rsid w:val="008612FE"/>
    <w:rsid w:val="00873287"/>
    <w:rsid w:val="008750DE"/>
    <w:rsid w:val="00884B99"/>
    <w:rsid w:val="00884E75"/>
    <w:rsid w:val="008A3F93"/>
    <w:rsid w:val="008A6680"/>
    <w:rsid w:val="008C2E4C"/>
    <w:rsid w:val="008D0F79"/>
    <w:rsid w:val="008D5099"/>
    <w:rsid w:val="008D63F1"/>
    <w:rsid w:val="00903A0C"/>
    <w:rsid w:val="009176E5"/>
    <w:rsid w:val="009178E1"/>
    <w:rsid w:val="00922BDE"/>
    <w:rsid w:val="00926B80"/>
    <w:rsid w:val="00927A3F"/>
    <w:rsid w:val="009321A5"/>
    <w:rsid w:val="0093411F"/>
    <w:rsid w:val="0093757F"/>
    <w:rsid w:val="0094464C"/>
    <w:rsid w:val="0094703B"/>
    <w:rsid w:val="00951C84"/>
    <w:rsid w:val="00960D01"/>
    <w:rsid w:val="00962760"/>
    <w:rsid w:val="00963CF5"/>
    <w:rsid w:val="0097176A"/>
    <w:rsid w:val="009728E5"/>
    <w:rsid w:val="0097387D"/>
    <w:rsid w:val="00981EBD"/>
    <w:rsid w:val="00983C17"/>
    <w:rsid w:val="009908A7"/>
    <w:rsid w:val="0099726B"/>
    <w:rsid w:val="009B2B2F"/>
    <w:rsid w:val="009B373B"/>
    <w:rsid w:val="009B46A7"/>
    <w:rsid w:val="009C49B1"/>
    <w:rsid w:val="009E5112"/>
    <w:rsid w:val="009E6931"/>
    <w:rsid w:val="009F7D31"/>
    <w:rsid w:val="00A00910"/>
    <w:rsid w:val="00A07449"/>
    <w:rsid w:val="00A31D0A"/>
    <w:rsid w:val="00A4294C"/>
    <w:rsid w:val="00A64C29"/>
    <w:rsid w:val="00A7516A"/>
    <w:rsid w:val="00A77308"/>
    <w:rsid w:val="00A868E1"/>
    <w:rsid w:val="00AA06C3"/>
    <w:rsid w:val="00AC06AF"/>
    <w:rsid w:val="00AC2CD2"/>
    <w:rsid w:val="00AC4A8E"/>
    <w:rsid w:val="00AD192A"/>
    <w:rsid w:val="00AE07A4"/>
    <w:rsid w:val="00AE2882"/>
    <w:rsid w:val="00AE305C"/>
    <w:rsid w:val="00AE4910"/>
    <w:rsid w:val="00AE4E8B"/>
    <w:rsid w:val="00AE7FF6"/>
    <w:rsid w:val="00AF568D"/>
    <w:rsid w:val="00B04436"/>
    <w:rsid w:val="00B062CE"/>
    <w:rsid w:val="00B32748"/>
    <w:rsid w:val="00B32E23"/>
    <w:rsid w:val="00B34D43"/>
    <w:rsid w:val="00B3571B"/>
    <w:rsid w:val="00B37D32"/>
    <w:rsid w:val="00B426FF"/>
    <w:rsid w:val="00B506B3"/>
    <w:rsid w:val="00B54F00"/>
    <w:rsid w:val="00B555AF"/>
    <w:rsid w:val="00B55DF3"/>
    <w:rsid w:val="00B63743"/>
    <w:rsid w:val="00B72016"/>
    <w:rsid w:val="00B732F2"/>
    <w:rsid w:val="00B823CF"/>
    <w:rsid w:val="00B84B4D"/>
    <w:rsid w:val="00B90DAD"/>
    <w:rsid w:val="00B94E63"/>
    <w:rsid w:val="00BA08D7"/>
    <w:rsid w:val="00BA5A26"/>
    <w:rsid w:val="00BB10C9"/>
    <w:rsid w:val="00BB53DB"/>
    <w:rsid w:val="00BB5F9B"/>
    <w:rsid w:val="00BC370C"/>
    <w:rsid w:val="00BC420C"/>
    <w:rsid w:val="00BD441B"/>
    <w:rsid w:val="00BD7AB4"/>
    <w:rsid w:val="00BE2F01"/>
    <w:rsid w:val="00BE511B"/>
    <w:rsid w:val="00BE7657"/>
    <w:rsid w:val="00C05FE2"/>
    <w:rsid w:val="00C20748"/>
    <w:rsid w:val="00C26B8F"/>
    <w:rsid w:val="00C26E0E"/>
    <w:rsid w:val="00C44691"/>
    <w:rsid w:val="00C46771"/>
    <w:rsid w:val="00C50BB6"/>
    <w:rsid w:val="00C5185F"/>
    <w:rsid w:val="00C5548F"/>
    <w:rsid w:val="00C55B6E"/>
    <w:rsid w:val="00C57363"/>
    <w:rsid w:val="00C67082"/>
    <w:rsid w:val="00C7116B"/>
    <w:rsid w:val="00C77702"/>
    <w:rsid w:val="00C910A7"/>
    <w:rsid w:val="00C91D76"/>
    <w:rsid w:val="00C91D86"/>
    <w:rsid w:val="00C92FBD"/>
    <w:rsid w:val="00CA14CA"/>
    <w:rsid w:val="00CA44C4"/>
    <w:rsid w:val="00CB43EB"/>
    <w:rsid w:val="00CC031E"/>
    <w:rsid w:val="00CC097E"/>
    <w:rsid w:val="00CD5B39"/>
    <w:rsid w:val="00CE3414"/>
    <w:rsid w:val="00CE39FF"/>
    <w:rsid w:val="00CF18F2"/>
    <w:rsid w:val="00CF293F"/>
    <w:rsid w:val="00D01074"/>
    <w:rsid w:val="00D021B1"/>
    <w:rsid w:val="00D0530D"/>
    <w:rsid w:val="00D12F3F"/>
    <w:rsid w:val="00D53D16"/>
    <w:rsid w:val="00D54911"/>
    <w:rsid w:val="00D5582E"/>
    <w:rsid w:val="00D67DAA"/>
    <w:rsid w:val="00D71751"/>
    <w:rsid w:val="00D82F4F"/>
    <w:rsid w:val="00DB28C4"/>
    <w:rsid w:val="00DB7723"/>
    <w:rsid w:val="00DC1298"/>
    <w:rsid w:val="00DC1E9B"/>
    <w:rsid w:val="00DC777B"/>
    <w:rsid w:val="00DD2BF7"/>
    <w:rsid w:val="00DD5DC6"/>
    <w:rsid w:val="00DE1F78"/>
    <w:rsid w:val="00DE346C"/>
    <w:rsid w:val="00E107AD"/>
    <w:rsid w:val="00E14DDD"/>
    <w:rsid w:val="00E21DE5"/>
    <w:rsid w:val="00E249A7"/>
    <w:rsid w:val="00E35C27"/>
    <w:rsid w:val="00E369DE"/>
    <w:rsid w:val="00E46EBA"/>
    <w:rsid w:val="00E55085"/>
    <w:rsid w:val="00E749D0"/>
    <w:rsid w:val="00E774B8"/>
    <w:rsid w:val="00E82A4B"/>
    <w:rsid w:val="00E86CD3"/>
    <w:rsid w:val="00E872B0"/>
    <w:rsid w:val="00E90A82"/>
    <w:rsid w:val="00ED2634"/>
    <w:rsid w:val="00ED6A35"/>
    <w:rsid w:val="00EE0BCD"/>
    <w:rsid w:val="00EE2645"/>
    <w:rsid w:val="00F056D3"/>
    <w:rsid w:val="00F07668"/>
    <w:rsid w:val="00F10523"/>
    <w:rsid w:val="00F21151"/>
    <w:rsid w:val="00F26CD1"/>
    <w:rsid w:val="00F407B2"/>
    <w:rsid w:val="00F44314"/>
    <w:rsid w:val="00F47B9A"/>
    <w:rsid w:val="00F54D71"/>
    <w:rsid w:val="00F55B46"/>
    <w:rsid w:val="00F56DC3"/>
    <w:rsid w:val="00FA44A6"/>
    <w:rsid w:val="00FC20BB"/>
    <w:rsid w:val="00FC70BD"/>
    <w:rsid w:val="00FE6CFD"/>
    <w:rsid w:val="00FF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1B8C16"/>
  <w15:chartTrackingRefBased/>
  <w15:docId w15:val="{DE3CBA37-E6FA-4F7D-BE01-A24AF885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styleId="GridTable5Dark-Accent1">
    <w:name w:val="Grid Table 5 Dark Accent 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4">
    <w:name w:val="Grid Table 4"/>
    <w:basedOn w:val="TableNormal"/>
    <w:uiPriority w:val="49"/>
    <w:rsid w:val="00CC031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AE07A4"/>
  </w:style>
  <w:style w:type="paragraph" w:customStyle="1" w:styleId="Default">
    <w:name w:val="Default"/>
    <w:rsid w:val="009446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10246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806A-45F1-4D93-BCB8-CF98B1EE6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01ACBB-3000-403C-8D44-6491E5A36A3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0CC440-B237-4803-B44E-D84CED97CCA6}">
  <ds:schemaRefs>
    <ds:schemaRef ds:uri="http://schemas.microsoft.com/sharepoint/v3/contenttype/forms"/>
  </ds:schemaRefs>
</ds:datastoreItem>
</file>

<file path=customXml/itemProps4.xml><?xml version="1.0" encoding="utf-8"?>
<ds:datastoreItem xmlns:ds="http://schemas.openxmlformats.org/officeDocument/2006/customXml" ds:itemID="{60E8F8BE-9691-4169-AB76-8A976630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Susannah</dc:creator>
  <cp:keywords/>
  <dc:description/>
  <cp:lastModifiedBy>Curtis, Michael R CIV OSD OUSD P-R (US)</cp:lastModifiedBy>
  <cp:revision>2</cp:revision>
  <cp:lastPrinted>2014-10-08T16:47:00Z</cp:lastPrinted>
  <dcterms:created xsi:type="dcterms:W3CDTF">2019-08-20T20:27:00Z</dcterms:created>
  <dcterms:modified xsi:type="dcterms:W3CDTF">2019-08-20T20:27:00Z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